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FCB" w:rsidRPr="00577030" w:rsidRDefault="005E1D76" w:rsidP="001E1FCB">
      <w:pPr>
        <w:pStyle w:val="Header"/>
        <w:tabs>
          <w:tab w:val="clear" w:pos="4153"/>
          <w:tab w:val="clear" w:pos="8306"/>
        </w:tabs>
        <w:rPr>
          <w:rFonts w:cs="Arial"/>
          <w:b/>
          <w:sz w:val="32"/>
          <w:szCs w:val="32"/>
        </w:rPr>
      </w:pPr>
      <w:bookmarkStart w:id="0" w:name="Introduction"/>
      <w:r w:rsidRPr="00577030">
        <w:rPr>
          <w:rFonts w:cs="Arial"/>
          <w:b/>
          <w:sz w:val="32"/>
          <w:szCs w:val="32"/>
        </w:rPr>
        <w:t>Lancashire County Council Internal Audit Service</w:t>
      </w:r>
    </w:p>
    <w:p w:rsidR="001E1FCB" w:rsidRPr="00577030" w:rsidRDefault="005E1D76" w:rsidP="001E1FCB">
      <w:pPr>
        <w:pStyle w:val="Header"/>
        <w:tabs>
          <w:tab w:val="clear" w:pos="4153"/>
          <w:tab w:val="clear" w:pos="8306"/>
        </w:tabs>
        <w:rPr>
          <w:rFonts w:cs="Arial"/>
          <w:b/>
          <w:sz w:val="32"/>
          <w:szCs w:val="32"/>
        </w:rPr>
      </w:pPr>
      <w:r w:rsidRPr="00577030">
        <w:rPr>
          <w:rFonts w:cs="Arial"/>
          <w:b/>
          <w:sz w:val="32"/>
          <w:szCs w:val="32"/>
        </w:rPr>
        <w:t>Annual report for the year ended 31 March 201</w:t>
      </w:r>
      <w:r>
        <w:rPr>
          <w:rFonts w:cs="Arial"/>
          <w:b/>
          <w:sz w:val="32"/>
          <w:szCs w:val="32"/>
        </w:rPr>
        <w:t>8</w:t>
      </w:r>
    </w:p>
    <w:p w:rsidR="001E1FCB" w:rsidRDefault="005E1D76" w:rsidP="001E1FCB">
      <w:pPr>
        <w:pStyle w:val="Heading1"/>
        <w:numPr>
          <w:ilvl w:val="0"/>
          <w:numId w:val="1"/>
        </w:numPr>
        <w:spacing w:after="120"/>
        <w:rPr>
          <w:rFonts w:ascii="Arial" w:hAnsi="Arial" w:cs="Arial"/>
          <w:bCs w:val="0"/>
        </w:rPr>
      </w:pPr>
      <w:r>
        <w:rPr>
          <w:rFonts w:ascii="Arial" w:hAnsi="Arial" w:cs="Arial"/>
        </w:rPr>
        <w:t>Introduction</w:t>
      </w:r>
    </w:p>
    <w:bookmarkEnd w:id="0"/>
    <w:p w:rsidR="001E1FCB" w:rsidRDefault="005E1D76" w:rsidP="001E1FCB">
      <w:pPr>
        <w:pStyle w:val="Heading3"/>
        <w:tabs>
          <w:tab w:val="left" w:pos="284"/>
        </w:tabs>
        <w:spacing w:after="120"/>
        <w:rPr>
          <w:rFonts w:ascii="Arial" w:hAnsi="Arial" w:cs="Arial"/>
          <w:bCs w:val="0"/>
        </w:rPr>
      </w:pPr>
      <w:r>
        <w:rPr>
          <w:rFonts w:ascii="Arial" w:hAnsi="Arial" w:cs="Arial"/>
        </w:rPr>
        <w:t>Purpose of this report</w:t>
      </w:r>
    </w:p>
    <w:p w:rsidR="001E1FCB" w:rsidRDefault="005E1D76" w:rsidP="001E1FCB">
      <w:pPr>
        <w:numPr>
          <w:ilvl w:val="1"/>
          <w:numId w:val="1"/>
        </w:numPr>
        <w:spacing w:before="120" w:after="120"/>
      </w:pPr>
      <w:r>
        <w:t>This report summarises the work that the county council's Internal Audit Service has undertaken during 2017/18 and the key themes arising in relation to internal control, governance and risk management across the council.</w:t>
      </w:r>
    </w:p>
    <w:p w:rsidR="001E1FCB" w:rsidRPr="00187E91" w:rsidRDefault="005E1D76" w:rsidP="001E1FCB">
      <w:pPr>
        <w:pStyle w:val="ListParagraph"/>
        <w:numPr>
          <w:ilvl w:val="1"/>
          <w:numId w:val="1"/>
        </w:numPr>
        <w:spacing w:before="120" w:after="120"/>
        <w:contextualSpacing w:val="0"/>
        <w:rPr>
          <w:rFonts w:cs="Arial"/>
        </w:rPr>
      </w:pPr>
      <w:r w:rsidRPr="00F53626">
        <w:rPr>
          <w:rFonts w:cs="Arial"/>
        </w:rPr>
        <w:t>In J</w:t>
      </w:r>
      <w:r>
        <w:rPr>
          <w:rFonts w:cs="Arial"/>
        </w:rPr>
        <w:t>une 2017</w:t>
      </w:r>
      <w:r w:rsidRPr="00F53626">
        <w:rPr>
          <w:rFonts w:cs="Arial"/>
        </w:rPr>
        <w:t xml:space="preserve"> the </w:t>
      </w:r>
      <w:r>
        <w:rPr>
          <w:rFonts w:cs="Arial"/>
        </w:rPr>
        <w:t xml:space="preserve">then </w:t>
      </w:r>
      <w:r w:rsidRPr="00F53626">
        <w:rPr>
          <w:rFonts w:cs="Arial"/>
        </w:rPr>
        <w:t>Audit and Governance Committee considered and approved a</w:t>
      </w:r>
      <w:r>
        <w:rPr>
          <w:rFonts w:cs="Arial"/>
        </w:rPr>
        <w:t>n</w:t>
      </w:r>
      <w:r w:rsidRPr="00F53626">
        <w:rPr>
          <w:rFonts w:cs="Arial"/>
        </w:rPr>
        <w:t xml:space="preserve"> internal audit plan for 201</w:t>
      </w:r>
      <w:r>
        <w:rPr>
          <w:rFonts w:cs="Arial"/>
        </w:rPr>
        <w:t>7/18, and small amendments to the plan have been reported to the committee during the course of the year. T</w:t>
      </w:r>
      <w:r w:rsidRPr="00F53626">
        <w:rPr>
          <w:rFonts w:cs="Arial"/>
        </w:rPr>
        <w:t xml:space="preserve">he </w:t>
      </w:r>
      <w:r>
        <w:rPr>
          <w:rFonts w:cs="Arial"/>
        </w:rPr>
        <w:t xml:space="preserve">work for the year is now sufficiently complete to support the overall opinion on the </w:t>
      </w:r>
      <w:r w:rsidRPr="00187E91">
        <w:rPr>
          <w:rFonts w:cs="Arial"/>
        </w:rPr>
        <w:t>frameworks of governance, risk management and internal control, although some pieces of work remain to be finalised and will be reported to the next meeting of the committee.</w:t>
      </w:r>
    </w:p>
    <w:p w:rsidR="001E1FCB" w:rsidRPr="00E1443F" w:rsidRDefault="005E1D76" w:rsidP="001E1FCB">
      <w:pPr>
        <w:pStyle w:val="Heading3"/>
        <w:tabs>
          <w:tab w:val="left" w:pos="284"/>
        </w:tabs>
        <w:spacing w:after="120"/>
        <w:rPr>
          <w:rFonts w:ascii="Arial" w:hAnsi="Arial" w:cs="Arial"/>
        </w:rPr>
      </w:pPr>
      <w:r w:rsidRPr="00E1443F">
        <w:rPr>
          <w:rFonts w:ascii="Arial" w:hAnsi="Arial" w:cs="Arial"/>
        </w:rPr>
        <w:t>The role of internal audit</w:t>
      </w:r>
    </w:p>
    <w:p w:rsidR="001E1FCB" w:rsidRDefault="005E1D76" w:rsidP="001E1FCB">
      <w:pPr>
        <w:numPr>
          <w:ilvl w:val="1"/>
          <w:numId w:val="1"/>
        </w:numPr>
        <w:spacing w:before="120" w:after="120"/>
      </w:pPr>
      <w:r>
        <w:t>The Internal Audit Service is an assurance function that provides an independent and objective opinion on the adequacy and effectiveness of the council's control environment. The Public Sector Internal Audit Standards (PSIAS) issued by the Chartered Institute of Public Finance and Accountancy (CIPFA) and the Chartered Institute of Internal Auditors (CIIA) require the head of internal audit to provide an opinion on the council's control environment and a written report to those charged with governance, timed to support the annual governance statement. This report presents my opinion based upon the work the Internal Audit Service has performed during 2017/18.</w:t>
      </w:r>
    </w:p>
    <w:p w:rsidR="001E1FCB" w:rsidRDefault="005E1D76" w:rsidP="001E1FCB">
      <w:pPr>
        <w:numPr>
          <w:ilvl w:val="1"/>
          <w:numId w:val="1"/>
        </w:numPr>
        <w:spacing w:before="120" w:after="120"/>
      </w:pPr>
      <w:r>
        <w:t xml:space="preserve">The scope of our work, management and audit’s responsibilities, the basis of my assessment, and access to this report are set out </w:t>
      </w:r>
      <w:r w:rsidRPr="00187E91">
        <w:t xml:space="preserve">in Appendix C to </w:t>
      </w:r>
      <w:r>
        <w:t>this report.</w:t>
      </w:r>
    </w:p>
    <w:p w:rsidR="001E1FCB" w:rsidRPr="00F92FDE" w:rsidRDefault="005E1D76" w:rsidP="001E1FCB">
      <w:pPr>
        <w:pStyle w:val="Heading3"/>
        <w:tabs>
          <w:tab w:val="left" w:pos="284"/>
        </w:tabs>
        <w:spacing w:after="120"/>
        <w:rPr>
          <w:rFonts w:ascii="Arial" w:hAnsi="Arial" w:cs="Arial"/>
        </w:rPr>
      </w:pPr>
      <w:r>
        <w:rPr>
          <w:rFonts w:ascii="Arial" w:hAnsi="Arial" w:cs="Arial"/>
        </w:rPr>
        <w:t>Interim progress reports</w:t>
      </w:r>
    </w:p>
    <w:p w:rsidR="001E1FCB" w:rsidRDefault="005E1D76" w:rsidP="001E1FCB">
      <w:pPr>
        <w:numPr>
          <w:ilvl w:val="1"/>
          <w:numId w:val="1"/>
        </w:numPr>
        <w:spacing w:before="120" w:after="120"/>
      </w:pPr>
      <w:r w:rsidRPr="00CC195D">
        <w:t xml:space="preserve">I have provided </w:t>
      </w:r>
      <w:r>
        <w:t>summaries of the individual pieces of audit work completed throughout the course of the year in my progress reports to each meeting of the Audit, Risk and Governance Committee. Any audit reports will be provided to any members if they wish.</w:t>
      </w:r>
    </w:p>
    <w:p w:rsidR="001E1FCB" w:rsidRDefault="006E2E49" w:rsidP="001E1FCB">
      <w:pPr>
        <w:tabs>
          <w:tab w:val="left" w:pos="284"/>
        </w:tabs>
      </w:pPr>
    </w:p>
    <w:p w:rsidR="003C75B5" w:rsidRDefault="006E2E49" w:rsidP="001E1FCB">
      <w:pPr>
        <w:tabs>
          <w:tab w:val="left" w:pos="284"/>
        </w:tabs>
      </w:pPr>
    </w:p>
    <w:p w:rsidR="003C75B5" w:rsidRDefault="006E2E49" w:rsidP="001E1FCB">
      <w:pPr>
        <w:tabs>
          <w:tab w:val="left" w:pos="284"/>
        </w:tabs>
      </w:pPr>
    </w:p>
    <w:p w:rsidR="001E1FCB" w:rsidRDefault="005E1D76" w:rsidP="001E1FCB">
      <w:pPr>
        <w:tabs>
          <w:tab w:val="left" w:pos="284"/>
        </w:tabs>
      </w:pPr>
      <w:r>
        <w:t>Ruth Lowry</w:t>
      </w:r>
    </w:p>
    <w:p w:rsidR="001E1FCB" w:rsidRDefault="005E1D76" w:rsidP="001E1FCB">
      <w:pPr>
        <w:tabs>
          <w:tab w:val="left" w:pos="284"/>
        </w:tabs>
      </w:pPr>
      <w:r>
        <w:t>Head of Internal Audit</w:t>
      </w:r>
    </w:p>
    <w:p w:rsidR="001E1FCB" w:rsidRDefault="005E1D76" w:rsidP="001E1FCB">
      <w:pPr>
        <w:tabs>
          <w:tab w:val="left" w:pos="284"/>
        </w:tabs>
      </w:pPr>
      <w:r w:rsidRPr="00845E11">
        <w:t>Lancashire County Council</w:t>
      </w:r>
    </w:p>
    <w:p w:rsidR="001E1FCB" w:rsidRPr="00F92FDE" w:rsidRDefault="005E1D76" w:rsidP="001E1FCB">
      <w:pPr>
        <w:pStyle w:val="Heading1"/>
        <w:numPr>
          <w:ilvl w:val="0"/>
          <w:numId w:val="1"/>
        </w:numPr>
        <w:spacing w:after="120"/>
        <w:rPr>
          <w:rFonts w:ascii="Arial" w:hAnsi="Arial" w:cs="Arial"/>
        </w:rPr>
      </w:pPr>
      <w:r>
        <w:rPr>
          <w:rFonts w:ascii="Arial Bold" w:hAnsi="Arial Bold" w:cs="Arial"/>
          <w:highlight w:val="lightGray"/>
        </w:rPr>
        <w:br w:type="page"/>
      </w:r>
      <w:bookmarkStart w:id="1" w:name="Assessment"/>
      <w:bookmarkStart w:id="2" w:name="OLE_LINK3"/>
      <w:bookmarkStart w:id="3" w:name="OLE_LINK4"/>
      <w:r w:rsidRPr="00F92FDE">
        <w:rPr>
          <w:rFonts w:ascii="Arial" w:hAnsi="Arial" w:cs="Arial"/>
        </w:rPr>
        <w:lastRenderedPageBreak/>
        <w:t>Summary a</w:t>
      </w:r>
      <w:r>
        <w:rPr>
          <w:rFonts w:ascii="Arial" w:hAnsi="Arial" w:cs="Arial"/>
        </w:rPr>
        <w:t>ssessment</w:t>
      </w:r>
      <w:bookmarkEnd w:id="1"/>
      <w:r>
        <w:rPr>
          <w:rFonts w:ascii="Arial" w:hAnsi="Arial" w:cs="Arial"/>
        </w:rPr>
        <w:t xml:space="preserve"> of internal control</w:t>
      </w:r>
    </w:p>
    <w:p w:rsidR="001E1FCB" w:rsidRDefault="005E1D76" w:rsidP="001E1FCB">
      <w:pPr>
        <w:pStyle w:val="Heading3"/>
        <w:tabs>
          <w:tab w:val="left" w:pos="284"/>
        </w:tabs>
        <w:spacing w:after="120"/>
        <w:rPr>
          <w:rFonts w:ascii="Arial" w:hAnsi="Arial" w:cs="Arial"/>
          <w:bCs w:val="0"/>
        </w:rPr>
      </w:pPr>
      <w:r>
        <w:rPr>
          <w:rFonts w:ascii="Arial" w:hAnsi="Arial" w:cs="Arial"/>
        </w:rPr>
        <w:t>Overall opinion</w:t>
      </w:r>
    </w:p>
    <w:p w:rsidR="001E1FCB" w:rsidRPr="00CC195D" w:rsidRDefault="005E1D76" w:rsidP="001E1FCB">
      <w:pPr>
        <w:numPr>
          <w:ilvl w:val="1"/>
          <w:numId w:val="1"/>
        </w:numPr>
        <w:spacing w:before="120" w:after="120"/>
      </w:pPr>
      <w:r w:rsidRPr="00321827">
        <w:t xml:space="preserve">I can provide </w:t>
      </w:r>
      <w:r w:rsidRPr="00F0496E">
        <w:t>limited</w:t>
      </w:r>
      <w:r w:rsidRPr="00271990">
        <w:t xml:space="preserve"> assurance </w:t>
      </w:r>
      <w:r>
        <w:t>overall regarding the adequacy of design and effectiveness in operation of the organisation's frameworks of governance, risk management and control.</w:t>
      </w:r>
    </w:p>
    <w:p w:rsidR="001E1FCB" w:rsidRPr="00B30469" w:rsidRDefault="005E1D76" w:rsidP="001E1FCB">
      <w:pPr>
        <w:numPr>
          <w:ilvl w:val="1"/>
          <w:numId w:val="1"/>
        </w:numPr>
        <w:spacing w:before="120" w:after="120"/>
      </w:pPr>
      <w:r w:rsidRPr="00CC195D">
        <w:t>In forming my opinion I have considered the work undertaken by the Internal Audit Servic</w:t>
      </w:r>
      <w:r>
        <w:t>e throughout the year as well as</w:t>
      </w:r>
      <w:r w:rsidRPr="00CC195D">
        <w:t xml:space="preserve"> the work of external assurance providers.</w:t>
      </w:r>
      <w:r>
        <w:t xml:space="preserve"> As explained in the plan for the year, there are a number of areas of the council's business </w:t>
      </w:r>
      <w:r>
        <w:rPr>
          <w:rFonts w:cs="Arial"/>
        </w:rPr>
        <w:t>where management had identified the need to continue to make service and control improvements and these were therefore excluded from the scope of audit work for the year as they would not have added value. Some of these are significant and have therefore also affected the assurance I am able to provide overall but the plans being implemented by managers across the organisation are building the foundations for better control. It is still too early to see the positive impact of this improvement work but evidence is expected in future years.</w:t>
      </w:r>
    </w:p>
    <w:p w:rsidR="001E1FCB" w:rsidRPr="004C3855" w:rsidRDefault="005E1D76" w:rsidP="001E1FCB">
      <w:pPr>
        <w:numPr>
          <w:ilvl w:val="1"/>
          <w:numId w:val="1"/>
        </w:numPr>
        <w:spacing w:before="120" w:after="120"/>
      </w:pPr>
      <w:r w:rsidRPr="004C3855">
        <w:t xml:space="preserve">Descriptions of the </w:t>
      </w:r>
      <w:r>
        <w:t xml:space="preserve">audit </w:t>
      </w:r>
      <w:r w:rsidRPr="004C3855">
        <w:t xml:space="preserve">work we have done are set out below and an explanation of the levels of </w:t>
      </w:r>
      <w:r w:rsidRPr="00CC14A5">
        <w:t xml:space="preserve">assurance the Internal Audit Service provides are set out in Appendices A and C. Appendix B provides </w:t>
      </w:r>
      <w:r w:rsidRPr="004C3855">
        <w:t>a table of each assurance assignment the team has undertaken during the year and the level of assu</w:t>
      </w:r>
      <w:r>
        <w:t>rance we have provided for each</w:t>
      </w:r>
      <w:r w:rsidRPr="004C3855">
        <w:t>.</w:t>
      </w:r>
    </w:p>
    <w:p w:rsidR="001E1FCB" w:rsidRPr="00633224" w:rsidRDefault="005E1D76" w:rsidP="001E1FCB">
      <w:pPr>
        <w:pStyle w:val="Heading3"/>
        <w:tabs>
          <w:tab w:val="left" w:pos="284"/>
        </w:tabs>
        <w:spacing w:after="120"/>
        <w:rPr>
          <w:rFonts w:ascii="Arial" w:hAnsi="Arial" w:cs="Arial"/>
        </w:rPr>
      </w:pPr>
      <w:r w:rsidRPr="00633224">
        <w:rPr>
          <w:rFonts w:ascii="Arial" w:hAnsi="Arial" w:cs="Arial"/>
        </w:rPr>
        <w:t>The council's control framework</w:t>
      </w:r>
    </w:p>
    <w:p w:rsidR="001E1FCB" w:rsidRDefault="005E1D76" w:rsidP="001E1FCB">
      <w:pPr>
        <w:numPr>
          <w:ilvl w:val="1"/>
          <w:numId w:val="1"/>
        </w:numPr>
        <w:spacing w:before="120" w:after="120"/>
      </w:pPr>
      <w:r>
        <w:t>Our work has been organised in accordance with the Internal Audit Service's planning principles and an understanding of the council's controls at the start of the year, which was set out as follows:</w:t>
      </w:r>
    </w:p>
    <w:p w:rsidR="001E1FCB" w:rsidRDefault="005E1D76" w:rsidP="00DA0061">
      <w:pPr>
        <w:pStyle w:val="Ruthsbulletpoint"/>
        <w:numPr>
          <w:ilvl w:val="0"/>
          <w:numId w:val="0"/>
        </w:numPr>
        <w:ind w:right="-142" w:firstLine="284"/>
        <w:contextualSpacing w:val="0"/>
      </w:pPr>
      <w:r w:rsidRPr="00FA725C">
        <w:rPr>
          <w:noProof/>
        </w:rPr>
        <w:drawing>
          <wp:inline distT="0" distB="0" distL="0" distR="0">
            <wp:extent cx="5785863" cy="330363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26898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00112" cy="3311774"/>
                    </a:xfrm>
                    <a:prstGeom prst="rect">
                      <a:avLst/>
                    </a:prstGeom>
                    <a:noFill/>
                    <a:ln>
                      <a:noFill/>
                    </a:ln>
                  </pic:spPr>
                </pic:pic>
              </a:graphicData>
            </a:graphic>
          </wp:inline>
        </w:drawing>
      </w:r>
    </w:p>
    <w:p w:rsidR="001E1FCB" w:rsidRDefault="005E1D76">
      <w:pPr>
        <w:spacing w:before="0" w:after="0"/>
        <w:rPr>
          <w:rFonts w:cs="Arial"/>
          <w:b/>
          <w:bCs/>
          <w:sz w:val="26"/>
          <w:szCs w:val="26"/>
        </w:rPr>
      </w:pPr>
      <w:r>
        <w:rPr>
          <w:rFonts w:cs="Arial"/>
        </w:rPr>
        <w:br w:type="page"/>
      </w:r>
    </w:p>
    <w:p w:rsidR="001E1FCB" w:rsidRDefault="005E1D76" w:rsidP="001E1FCB">
      <w:pPr>
        <w:pStyle w:val="Heading3"/>
        <w:tabs>
          <w:tab w:val="left" w:pos="284"/>
        </w:tabs>
        <w:spacing w:after="120"/>
        <w:rPr>
          <w:rFonts w:ascii="Arial" w:hAnsi="Arial" w:cs="Arial"/>
        </w:rPr>
      </w:pPr>
      <w:r>
        <w:rPr>
          <w:rFonts w:ascii="Arial" w:hAnsi="Arial" w:cs="Arial"/>
        </w:rPr>
        <w:lastRenderedPageBreak/>
        <w:t>Summary of assurance provided by the Internal Audit Service</w:t>
      </w:r>
    </w:p>
    <w:p w:rsidR="001255E2" w:rsidRDefault="005E1D76" w:rsidP="001E1FCB">
      <w:pPr>
        <w:numPr>
          <w:ilvl w:val="1"/>
          <w:numId w:val="1"/>
        </w:numPr>
        <w:spacing w:before="120" w:after="120"/>
      </w:pPr>
      <w:r>
        <w:t>By agreement with the then Management Team the plan for 2017/18 included some audits that were intended to support managers in making further improvements in high-risk areas that were known to be problematic but without ongoing interventions. It was therefore to be expected that lower degrees of assurance would be provided by the Internal Audit Service this year but this focus has added value to the organisation.</w:t>
      </w:r>
    </w:p>
    <w:p w:rsidR="001E1FCB" w:rsidRPr="00501E4B" w:rsidRDefault="005E1D76" w:rsidP="001E1FCB">
      <w:pPr>
        <w:numPr>
          <w:ilvl w:val="1"/>
          <w:numId w:val="1"/>
        </w:numPr>
        <w:spacing w:before="120" w:after="120"/>
      </w:pPr>
      <w:r>
        <w:t xml:space="preserve">A summary of all the assurance we have provided during the year to the end of March 2018 is set out in the table below. This includes each internal audit assignment directed to providing controls assurance, but it excludes work for example on the certification of grant funding </w:t>
      </w:r>
      <w:r w:rsidRPr="00501E4B">
        <w:t xml:space="preserve">claims and participation in working groups, </w:t>
      </w:r>
      <w:r w:rsidRPr="00501E4B">
        <w:rPr>
          <w:rFonts w:cs="Arial"/>
        </w:rPr>
        <w:t>which has not been directed at providing assurance.</w:t>
      </w:r>
    </w:p>
    <w:tbl>
      <w:tblPr>
        <w:tblStyle w:val="TableGrid"/>
        <w:tblW w:w="8505" w:type="dxa"/>
        <w:tblInd w:w="704" w:type="dxa"/>
        <w:tblLayout w:type="fixed"/>
        <w:tblLook w:val="04A0" w:firstRow="1" w:lastRow="0" w:firstColumn="1" w:lastColumn="0" w:noHBand="0" w:noVBand="1"/>
      </w:tblPr>
      <w:tblGrid>
        <w:gridCol w:w="3969"/>
        <w:gridCol w:w="851"/>
        <w:gridCol w:w="850"/>
        <w:gridCol w:w="1276"/>
        <w:gridCol w:w="850"/>
        <w:gridCol w:w="709"/>
      </w:tblGrid>
      <w:tr w:rsidR="00DC2721" w:rsidTr="00E12E24">
        <w:tc>
          <w:tcPr>
            <w:tcW w:w="3969" w:type="dxa"/>
            <w:vMerge w:val="restart"/>
            <w:tcBorders>
              <w:top w:val="single" w:sz="4" w:space="0" w:color="auto"/>
              <w:left w:val="single" w:sz="4" w:space="0" w:color="auto"/>
            </w:tcBorders>
          </w:tcPr>
          <w:p w:rsidR="00E12E24" w:rsidRPr="00063AED" w:rsidRDefault="005E1D76" w:rsidP="00063AED">
            <w:pPr>
              <w:tabs>
                <w:tab w:val="left" w:pos="284"/>
              </w:tabs>
              <w:spacing w:before="40" w:after="40" w:line="240" w:lineRule="auto"/>
              <w:rPr>
                <w:rFonts w:cs="Arial"/>
                <w:b/>
                <w:sz w:val="22"/>
                <w:szCs w:val="22"/>
              </w:rPr>
            </w:pPr>
            <w:r w:rsidRPr="00063AED">
              <w:rPr>
                <w:rFonts w:cs="Arial"/>
                <w:b/>
              </w:rPr>
              <w:t>2017/18 a</w:t>
            </w:r>
            <w:r w:rsidRPr="00063AED">
              <w:rPr>
                <w:rFonts w:cs="Arial"/>
                <w:b/>
                <w:sz w:val="22"/>
                <w:szCs w:val="22"/>
              </w:rPr>
              <w:t>ssignments relating to:</w:t>
            </w:r>
          </w:p>
        </w:tc>
        <w:tc>
          <w:tcPr>
            <w:tcW w:w="851" w:type="dxa"/>
            <w:vMerge w:val="restart"/>
          </w:tcPr>
          <w:p w:rsidR="00E12E24" w:rsidRPr="00063AED" w:rsidRDefault="005E1D76" w:rsidP="00063AED">
            <w:pPr>
              <w:tabs>
                <w:tab w:val="left" w:pos="284"/>
              </w:tabs>
              <w:spacing w:before="40" w:after="40" w:line="240" w:lineRule="auto"/>
              <w:jc w:val="center"/>
              <w:rPr>
                <w:rFonts w:cs="Arial"/>
                <w:b/>
                <w:sz w:val="20"/>
                <w:szCs w:val="20"/>
              </w:rPr>
            </w:pPr>
            <w:r w:rsidRPr="00063AED">
              <w:rPr>
                <w:rFonts w:cs="Arial"/>
                <w:b/>
                <w:sz w:val="20"/>
                <w:szCs w:val="20"/>
              </w:rPr>
              <w:t>Total</w:t>
            </w:r>
          </w:p>
        </w:tc>
        <w:tc>
          <w:tcPr>
            <w:tcW w:w="3685" w:type="dxa"/>
            <w:gridSpan w:val="4"/>
          </w:tcPr>
          <w:p w:rsidR="00E12E24" w:rsidRPr="00063AED" w:rsidRDefault="005E1D76" w:rsidP="00063AED">
            <w:pPr>
              <w:tabs>
                <w:tab w:val="left" w:pos="284"/>
              </w:tabs>
              <w:spacing w:before="40" w:after="40" w:line="240" w:lineRule="auto"/>
              <w:jc w:val="center"/>
              <w:rPr>
                <w:rFonts w:cs="Arial"/>
                <w:b/>
                <w:sz w:val="20"/>
                <w:szCs w:val="20"/>
              </w:rPr>
            </w:pPr>
            <w:r w:rsidRPr="00063AED">
              <w:rPr>
                <w:rFonts w:cs="Arial"/>
                <w:b/>
                <w:sz w:val="20"/>
                <w:szCs w:val="20"/>
              </w:rPr>
              <w:t>Assurance</w:t>
            </w:r>
          </w:p>
        </w:tc>
      </w:tr>
      <w:tr w:rsidR="00DC2721" w:rsidTr="00E12E24">
        <w:trPr>
          <w:trHeight w:val="217"/>
        </w:trPr>
        <w:tc>
          <w:tcPr>
            <w:tcW w:w="3969" w:type="dxa"/>
            <w:vMerge/>
            <w:tcBorders>
              <w:left w:val="single" w:sz="4" w:space="0" w:color="auto"/>
            </w:tcBorders>
          </w:tcPr>
          <w:p w:rsidR="00E12E24" w:rsidRPr="00063AED" w:rsidRDefault="006E2E49" w:rsidP="00063AED">
            <w:pPr>
              <w:tabs>
                <w:tab w:val="left" w:pos="284"/>
              </w:tabs>
              <w:spacing w:before="40" w:after="40" w:line="240" w:lineRule="auto"/>
              <w:rPr>
                <w:rFonts w:cs="Arial"/>
                <w:b/>
                <w:sz w:val="22"/>
                <w:szCs w:val="22"/>
              </w:rPr>
            </w:pPr>
          </w:p>
        </w:tc>
        <w:tc>
          <w:tcPr>
            <w:tcW w:w="851" w:type="dxa"/>
            <w:vMerge/>
          </w:tcPr>
          <w:p w:rsidR="00E12E24" w:rsidRPr="00063AED" w:rsidRDefault="006E2E49" w:rsidP="00063AED">
            <w:pPr>
              <w:tabs>
                <w:tab w:val="left" w:pos="284"/>
              </w:tabs>
              <w:spacing w:before="40" w:after="40" w:line="240" w:lineRule="auto"/>
              <w:jc w:val="center"/>
              <w:rPr>
                <w:rFonts w:cs="Arial"/>
                <w:b/>
                <w:sz w:val="20"/>
                <w:szCs w:val="20"/>
              </w:rPr>
            </w:pPr>
          </w:p>
        </w:tc>
        <w:tc>
          <w:tcPr>
            <w:tcW w:w="850" w:type="dxa"/>
            <w:tcMar>
              <w:left w:w="57" w:type="dxa"/>
              <w:right w:w="57" w:type="dxa"/>
            </w:tcMar>
          </w:tcPr>
          <w:p w:rsidR="00E12E24" w:rsidRPr="00063AED" w:rsidRDefault="005E1D76" w:rsidP="00063AED">
            <w:pPr>
              <w:tabs>
                <w:tab w:val="left" w:pos="284"/>
              </w:tabs>
              <w:spacing w:before="40" w:after="40" w:line="240" w:lineRule="auto"/>
              <w:jc w:val="center"/>
              <w:rPr>
                <w:rFonts w:cs="Arial"/>
                <w:b/>
                <w:sz w:val="20"/>
                <w:szCs w:val="20"/>
              </w:rPr>
            </w:pPr>
            <w:r w:rsidRPr="00063AED">
              <w:rPr>
                <w:rFonts w:cs="Arial"/>
                <w:b/>
                <w:sz w:val="20"/>
                <w:szCs w:val="20"/>
              </w:rPr>
              <w:t>Full</w:t>
            </w:r>
          </w:p>
        </w:tc>
        <w:tc>
          <w:tcPr>
            <w:tcW w:w="1276" w:type="dxa"/>
            <w:tcMar>
              <w:left w:w="57" w:type="dxa"/>
              <w:right w:w="57" w:type="dxa"/>
            </w:tcMar>
          </w:tcPr>
          <w:p w:rsidR="00E12E24" w:rsidRPr="00063AED" w:rsidRDefault="005E1D76" w:rsidP="00063AED">
            <w:pPr>
              <w:tabs>
                <w:tab w:val="left" w:pos="284"/>
              </w:tabs>
              <w:spacing w:before="40" w:after="40" w:line="240" w:lineRule="auto"/>
              <w:jc w:val="center"/>
              <w:rPr>
                <w:rFonts w:cs="Arial"/>
                <w:b/>
                <w:sz w:val="20"/>
                <w:szCs w:val="20"/>
              </w:rPr>
            </w:pPr>
            <w:r w:rsidRPr="00063AED">
              <w:rPr>
                <w:rFonts w:cs="Arial"/>
                <w:b/>
                <w:sz w:val="20"/>
                <w:szCs w:val="20"/>
              </w:rPr>
              <w:t>Substantial</w:t>
            </w:r>
          </w:p>
        </w:tc>
        <w:tc>
          <w:tcPr>
            <w:tcW w:w="850" w:type="dxa"/>
            <w:tcMar>
              <w:left w:w="57" w:type="dxa"/>
              <w:right w:w="57" w:type="dxa"/>
            </w:tcMar>
          </w:tcPr>
          <w:p w:rsidR="00E12E24" w:rsidRPr="00063AED" w:rsidRDefault="005E1D76" w:rsidP="00063AED">
            <w:pPr>
              <w:tabs>
                <w:tab w:val="left" w:pos="284"/>
              </w:tabs>
              <w:spacing w:before="40" w:after="40" w:line="240" w:lineRule="auto"/>
              <w:jc w:val="center"/>
              <w:rPr>
                <w:rFonts w:cs="Arial"/>
                <w:b/>
                <w:sz w:val="20"/>
                <w:szCs w:val="20"/>
              </w:rPr>
            </w:pPr>
            <w:r w:rsidRPr="00063AED">
              <w:rPr>
                <w:rFonts w:cs="Arial"/>
                <w:b/>
                <w:sz w:val="20"/>
                <w:szCs w:val="20"/>
              </w:rPr>
              <w:t>Limited</w:t>
            </w:r>
          </w:p>
        </w:tc>
        <w:tc>
          <w:tcPr>
            <w:tcW w:w="709" w:type="dxa"/>
            <w:tcMar>
              <w:left w:w="57" w:type="dxa"/>
              <w:right w:w="57" w:type="dxa"/>
            </w:tcMar>
          </w:tcPr>
          <w:p w:rsidR="00E12E24" w:rsidRPr="00063AED" w:rsidRDefault="005E1D76" w:rsidP="00063AED">
            <w:pPr>
              <w:tabs>
                <w:tab w:val="left" w:pos="284"/>
              </w:tabs>
              <w:spacing w:before="40" w:after="40" w:line="240" w:lineRule="auto"/>
              <w:jc w:val="center"/>
              <w:rPr>
                <w:rFonts w:cs="Arial"/>
                <w:b/>
                <w:sz w:val="20"/>
                <w:szCs w:val="20"/>
              </w:rPr>
            </w:pPr>
            <w:r w:rsidRPr="00063AED">
              <w:rPr>
                <w:rFonts w:cs="Arial"/>
                <w:b/>
                <w:sz w:val="20"/>
                <w:szCs w:val="20"/>
              </w:rPr>
              <w:t>None</w:t>
            </w:r>
          </w:p>
        </w:tc>
      </w:tr>
      <w:tr w:rsidR="00DC2721" w:rsidTr="00E42360">
        <w:tc>
          <w:tcPr>
            <w:tcW w:w="3969" w:type="dxa"/>
          </w:tcPr>
          <w:p w:rsidR="00C42E20" w:rsidRPr="00063AED" w:rsidRDefault="005E1D76" w:rsidP="00063AED">
            <w:pPr>
              <w:tabs>
                <w:tab w:val="left" w:pos="284"/>
              </w:tabs>
              <w:spacing w:before="40" w:after="40" w:line="240" w:lineRule="auto"/>
              <w:rPr>
                <w:rFonts w:cs="Arial"/>
                <w:sz w:val="22"/>
                <w:szCs w:val="22"/>
              </w:rPr>
            </w:pPr>
            <w:r w:rsidRPr="00063AED">
              <w:rPr>
                <w:rFonts w:cs="Arial"/>
                <w:sz w:val="22"/>
                <w:szCs w:val="22"/>
              </w:rPr>
              <w:t>Governance and democratic oversight</w:t>
            </w:r>
          </w:p>
        </w:tc>
        <w:tc>
          <w:tcPr>
            <w:tcW w:w="851" w:type="dxa"/>
            <w:vAlign w:val="center"/>
          </w:tcPr>
          <w:p w:rsidR="00C42E20" w:rsidRPr="00063AED" w:rsidRDefault="005E1D76" w:rsidP="00063AED">
            <w:pPr>
              <w:spacing w:before="40" w:after="40" w:line="240" w:lineRule="auto"/>
              <w:jc w:val="center"/>
              <w:rPr>
                <w:rFonts w:cs="Arial"/>
                <w:color w:val="000000"/>
                <w:sz w:val="22"/>
                <w:szCs w:val="22"/>
              </w:rPr>
            </w:pPr>
            <w:r w:rsidRPr="00063AED">
              <w:rPr>
                <w:rFonts w:cs="Arial"/>
                <w:color w:val="000000"/>
                <w:sz w:val="22"/>
                <w:szCs w:val="22"/>
              </w:rPr>
              <w:t>0</w:t>
            </w:r>
          </w:p>
        </w:tc>
        <w:tc>
          <w:tcPr>
            <w:tcW w:w="850" w:type="dxa"/>
            <w:vAlign w:val="center"/>
          </w:tcPr>
          <w:p w:rsidR="00C42E20" w:rsidRPr="00063AED" w:rsidRDefault="005E1D76" w:rsidP="00063AED">
            <w:pPr>
              <w:spacing w:before="40" w:after="40" w:line="240" w:lineRule="auto"/>
              <w:jc w:val="center"/>
              <w:rPr>
                <w:rFonts w:cs="Arial"/>
                <w:color w:val="000000"/>
                <w:sz w:val="22"/>
                <w:szCs w:val="22"/>
              </w:rPr>
            </w:pPr>
            <w:r w:rsidRPr="00063AED">
              <w:rPr>
                <w:rFonts w:cs="Arial"/>
                <w:color w:val="000000"/>
                <w:sz w:val="22"/>
                <w:szCs w:val="22"/>
              </w:rPr>
              <w:t> </w:t>
            </w:r>
          </w:p>
        </w:tc>
        <w:tc>
          <w:tcPr>
            <w:tcW w:w="1276" w:type="dxa"/>
            <w:vAlign w:val="center"/>
          </w:tcPr>
          <w:p w:rsidR="00C42E20" w:rsidRPr="00063AED" w:rsidRDefault="005E1D76" w:rsidP="00063AED">
            <w:pPr>
              <w:spacing w:before="40" w:after="40" w:line="240" w:lineRule="auto"/>
              <w:jc w:val="center"/>
              <w:rPr>
                <w:rFonts w:cs="Arial"/>
                <w:color w:val="000000"/>
                <w:sz w:val="22"/>
                <w:szCs w:val="22"/>
              </w:rPr>
            </w:pPr>
            <w:r w:rsidRPr="00063AED">
              <w:rPr>
                <w:rFonts w:cs="Arial"/>
                <w:color w:val="000000"/>
                <w:sz w:val="22"/>
                <w:szCs w:val="22"/>
              </w:rPr>
              <w:t> </w:t>
            </w:r>
          </w:p>
        </w:tc>
        <w:tc>
          <w:tcPr>
            <w:tcW w:w="850" w:type="dxa"/>
            <w:vAlign w:val="center"/>
          </w:tcPr>
          <w:p w:rsidR="00C42E20" w:rsidRPr="00063AED" w:rsidRDefault="005E1D76" w:rsidP="00063AED">
            <w:pPr>
              <w:spacing w:before="40" w:after="40" w:line="240" w:lineRule="auto"/>
              <w:jc w:val="center"/>
              <w:rPr>
                <w:rFonts w:cs="Arial"/>
                <w:color w:val="000000"/>
                <w:sz w:val="22"/>
                <w:szCs w:val="22"/>
              </w:rPr>
            </w:pPr>
            <w:r w:rsidRPr="00063AED">
              <w:rPr>
                <w:rFonts w:cs="Arial"/>
                <w:color w:val="000000"/>
                <w:sz w:val="22"/>
                <w:szCs w:val="22"/>
              </w:rPr>
              <w:t> </w:t>
            </w:r>
          </w:p>
        </w:tc>
        <w:tc>
          <w:tcPr>
            <w:tcW w:w="709" w:type="dxa"/>
            <w:vAlign w:val="center"/>
          </w:tcPr>
          <w:p w:rsidR="00C42E20" w:rsidRPr="00063AED" w:rsidRDefault="005E1D76" w:rsidP="00063AED">
            <w:pPr>
              <w:spacing w:before="40" w:after="40" w:line="240" w:lineRule="auto"/>
              <w:jc w:val="center"/>
              <w:rPr>
                <w:rFonts w:cs="Arial"/>
                <w:color w:val="000000"/>
                <w:sz w:val="22"/>
                <w:szCs w:val="22"/>
              </w:rPr>
            </w:pPr>
            <w:r w:rsidRPr="00063AED">
              <w:rPr>
                <w:rFonts w:cs="Arial"/>
                <w:color w:val="000000"/>
                <w:sz w:val="22"/>
                <w:szCs w:val="22"/>
              </w:rPr>
              <w:t> </w:t>
            </w:r>
          </w:p>
        </w:tc>
      </w:tr>
      <w:tr w:rsidR="00DC2721" w:rsidTr="00E42360">
        <w:tc>
          <w:tcPr>
            <w:tcW w:w="3969" w:type="dxa"/>
          </w:tcPr>
          <w:p w:rsidR="00C42E20" w:rsidRPr="00063AED" w:rsidRDefault="005E1D76" w:rsidP="00063AED">
            <w:pPr>
              <w:tabs>
                <w:tab w:val="left" w:pos="284"/>
              </w:tabs>
              <w:spacing w:before="40" w:after="40" w:line="240" w:lineRule="auto"/>
              <w:rPr>
                <w:rFonts w:cs="Arial"/>
                <w:sz w:val="22"/>
                <w:szCs w:val="22"/>
              </w:rPr>
            </w:pPr>
            <w:r w:rsidRPr="00063AED">
              <w:rPr>
                <w:rFonts w:cs="Arial"/>
                <w:sz w:val="22"/>
                <w:szCs w:val="22"/>
              </w:rPr>
              <w:t xml:space="preserve">Business effectiveness </w:t>
            </w:r>
          </w:p>
        </w:tc>
        <w:tc>
          <w:tcPr>
            <w:tcW w:w="851" w:type="dxa"/>
            <w:vAlign w:val="center"/>
          </w:tcPr>
          <w:p w:rsidR="00C42E20" w:rsidRPr="00063AED" w:rsidRDefault="005E1D76" w:rsidP="00063AED">
            <w:pPr>
              <w:spacing w:before="40" w:after="40" w:line="240" w:lineRule="auto"/>
              <w:jc w:val="center"/>
              <w:rPr>
                <w:rFonts w:cs="Arial"/>
                <w:color w:val="000000"/>
                <w:sz w:val="22"/>
                <w:szCs w:val="22"/>
              </w:rPr>
            </w:pPr>
            <w:r w:rsidRPr="00063AED">
              <w:rPr>
                <w:rFonts w:cs="Arial"/>
                <w:color w:val="000000"/>
                <w:sz w:val="22"/>
                <w:szCs w:val="22"/>
              </w:rPr>
              <w:t>3</w:t>
            </w:r>
          </w:p>
        </w:tc>
        <w:tc>
          <w:tcPr>
            <w:tcW w:w="850" w:type="dxa"/>
            <w:vAlign w:val="center"/>
          </w:tcPr>
          <w:p w:rsidR="00C42E20" w:rsidRPr="00063AED" w:rsidRDefault="005E1D76" w:rsidP="00063AED">
            <w:pPr>
              <w:spacing w:before="40" w:after="40" w:line="240" w:lineRule="auto"/>
              <w:jc w:val="center"/>
              <w:rPr>
                <w:rFonts w:cs="Arial"/>
                <w:color w:val="000000"/>
                <w:sz w:val="22"/>
                <w:szCs w:val="22"/>
              </w:rPr>
            </w:pPr>
            <w:r w:rsidRPr="00063AED">
              <w:rPr>
                <w:rFonts w:cs="Arial"/>
                <w:color w:val="000000"/>
                <w:sz w:val="22"/>
                <w:szCs w:val="22"/>
              </w:rPr>
              <w:t>1</w:t>
            </w:r>
          </w:p>
        </w:tc>
        <w:tc>
          <w:tcPr>
            <w:tcW w:w="1276" w:type="dxa"/>
            <w:vAlign w:val="center"/>
          </w:tcPr>
          <w:p w:rsidR="00C42E20" w:rsidRPr="00063AED" w:rsidRDefault="005E1D76" w:rsidP="00063AED">
            <w:pPr>
              <w:spacing w:before="40" w:after="40" w:line="240" w:lineRule="auto"/>
              <w:jc w:val="center"/>
              <w:rPr>
                <w:rFonts w:cs="Arial"/>
                <w:color w:val="000000"/>
                <w:sz w:val="22"/>
                <w:szCs w:val="22"/>
              </w:rPr>
            </w:pPr>
            <w:r w:rsidRPr="00063AED">
              <w:rPr>
                <w:rFonts w:cs="Arial"/>
                <w:color w:val="000000"/>
                <w:sz w:val="22"/>
                <w:szCs w:val="22"/>
              </w:rPr>
              <w:t>2</w:t>
            </w:r>
          </w:p>
        </w:tc>
        <w:tc>
          <w:tcPr>
            <w:tcW w:w="850" w:type="dxa"/>
            <w:vAlign w:val="center"/>
          </w:tcPr>
          <w:p w:rsidR="00C42E20" w:rsidRPr="00063AED" w:rsidRDefault="005E1D76" w:rsidP="00063AED">
            <w:pPr>
              <w:spacing w:before="40" w:after="40" w:line="240" w:lineRule="auto"/>
              <w:jc w:val="center"/>
              <w:rPr>
                <w:rFonts w:cs="Arial"/>
                <w:color w:val="000000"/>
                <w:sz w:val="22"/>
                <w:szCs w:val="22"/>
              </w:rPr>
            </w:pPr>
            <w:r w:rsidRPr="00063AED">
              <w:rPr>
                <w:rFonts w:cs="Arial"/>
                <w:color w:val="000000"/>
                <w:sz w:val="22"/>
                <w:szCs w:val="22"/>
              </w:rPr>
              <w:t> </w:t>
            </w:r>
          </w:p>
        </w:tc>
        <w:tc>
          <w:tcPr>
            <w:tcW w:w="709" w:type="dxa"/>
            <w:vAlign w:val="center"/>
          </w:tcPr>
          <w:p w:rsidR="00C42E20" w:rsidRPr="00063AED" w:rsidRDefault="005E1D76" w:rsidP="00063AED">
            <w:pPr>
              <w:spacing w:before="40" w:after="40" w:line="240" w:lineRule="auto"/>
              <w:jc w:val="center"/>
              <w:rPr>
                <w:rFonts w:cs="Arial"/>
                <w:color w:val="000000"/>
                <w:sz w:val="22"/>
                <w:szCs w:val="22"/>
              </w:rPr>
            </w:pPr>
            <w:r w:rsidRPr="00063AED">
              <w:rPr>
                <w:rFonts w:cs="Arial"/>
                <w:color w:val="000000"/>
                <w:sz w:val="22"/>
                <w:szCs w:val="22"/>
              </w:rPr>
              <w:t> </w:t>
            </w:r>
          </w:p>
        </w:tc>
      </w:tr>
      <w:tr w:rsidR="00DC2721" w:rsidTr="00E42360">
        <w:tc>
          <w:tcPr>
            <w:tcW w:w="3969" w:type="dxa"/>
            <w:tcBorders>
              <w:bottom w:val="single" w:sz="4" w:space="0" w:color="auto"/>
            </w:tcBorders>
          </w:tcPr>
          <w:p w:rsidR="00C42E20" w:rsidRPr="00063AED" w:rsidRDefault="005E1D76" w:rsidP="00063AED">
            <w:pPr>
              <w:tabs>
                <w:tab w:val="left" w:pos="284"/>
              </w:tabs>
              <w:spacing w:before="40" w:after="40" w:line="240" w:lineRule="auto"/>
              <w:rPr>
                <w:rFonts w:cs="Arial"/>
                <w:sz w:val="22"/>
                <w:szCs w:val="22"/>
              </w:rPr>
            </w:pPr>
            <w:r w:rsidRPr="00063AED">
              <w:rPr>
                <w:rFonts w:cs="Arial"/>
                <w:sz w:val="22"/>
                <w:szCs w:val="22"/>
              </w:rPr>
              <w:t>Service delivery</w:t>
            </w:r>
          </w:p>
        </w:tc>
        <w:tc>
          <w:tcPr>
            <w:tcW w:w="851" w:type="dxa"/>
            <w:tcBorders>
              <w:bottom w:val="single" w:sz="4" w:space="0" w:color="auto"/>
            </w:tcBorders>
            <w:vAlign w:val="center"/>
          </w:tcPr>
          <w:p w:rsidR="00C42E20" w:rsidRPr="00063AED" w:rsidRDefault="005E1D76" w:rsidP="00063AED">
            <w:pPr>
              <w:spacing w:before="40" w:after="40" w:line="240" w:lineRule="auto"/>
              <w:jc w:val="center"/>
              <w:rPr>
                <w:rFonts w:cs="Arial"/>
                <w:color w:val="000000"/>
                <w:sz w:val="22"/>
                <w:szCs w:val="22"/>
              </w:rPr>
            </w:pPr>
            <w:r w:rsidRPr="00063AED">
              <w:rPr>
                <w:rFonts w:cs="Arial"/>
                <w:color w:val="000000"/>
                <w:sz w:val="22"/>
                <w:szCs w:val="22"/>
              </w:rPr>
              <w:t>16</w:t>
            </w:r>
          </w:p>
        </w:tc>
        <w:tc>
          <w:tcPr>
            <w:tcW w:w="850" w:type="dxa"/>
            <w:tcBorders>
              <w:bottom w:val="single" w:sz="4" w:space="0" w:color="auto"/>
            </w:tcBorders>
            <w:vAlign w:val="center"/>
          </w:tcPr>
          <w:p w:rsidR="00C42E20" w:rsidRPr="00063AED" w:rsidRDefault="005E1D76" w:rsidP="00063AED">
            <w:pPr>
              <w:spacing w:before="40" w:after="40" w:line="240" w:lineRule="auto"/>
              <w:jc w:val="center"/>
              <w:rPr>
                <w:rFonts w:cs="Arial"/>
                <w:color w:val="000000"/>
                <w:sz w:val="22"/>
                <w:szCs w:val="22"/>
              </w:rPr>
            </w:pPr>
            <w:r w:rsidRPr="00063AED">
              <w:rPr>
                <w:rFonts w:cs="Arial"/>
                <w:color w:val="000000"/>
                <w:sz w:val="22"/>
                <w:szCs w:val="22"/>
              </w:rPr>
              <w:t> </w:t>
            </w:r>
          </w:p>
        </w:tc>
        <w:tc>
          <w:tcPr>
            <w:tcW w:w="1276" w:type="dxa"/>
            <w:tcBorders>
              <w:bottom w:val="single" w:sz="4" w:space="0" w:color="auto"/>
            </w:tcBorders>
            <w:vAlign w:val="center"/>
          </w:tcPr>
          <w:p w:rsidR="00C42E20" w:rsidRPr="00063AED" w:rsidRDefault="005E1D76" w:rsidP="00063AED">
            <w:pPr>
              <w:spacing w:before="40" w:after="40" w:line="240" w:lineRule="auto"/>
              <w:jc w:val="center"/>
              <w:rPr>
                <w:rFonts w:cs="Arial"/>
                <w:color w:val="000000"/>
                <w:sz w:val="22"/>
                <w:szCs w:val="22"/>
              </w:rPr>
            </w:pPr>
            <w:r w:rsidRPr="00063AED">
              <w:rPr>
                <w:rFonts w:cs="Arial"/>
                <w:color w:val="000000"/>
                <w:sz w:val="22"/>
                <w:szCs w:val="22"/>
              </w:rPr>
              <w:t>10</w:t>
            </w:r>
          </w:p>
        </w:tc>
        <w:tc>
          <w:tcPr>
            <w:tcW w:w="850" w:type="dxa"/>
            <w:tcBorders>
              <w:bottom w:val="single" w:sz="4" w:space="0" w:color="auto"/>
            </w:tcBorders>
            <w:vAlign w:val="center"/>
          </w:tcPr>
          <w:p w:rsidR="00C42E20" w:rsidRPr="00063AED" w:rsidRDefault="005E1D76" w:rsidP="00063AED">
            <w:pPr>
              <w:spacing w:before="40" w:after="40" w:line="240" w:lineRule="auto"/>
              <w:jc w:val="center"/>
              <w:rPr>
                <w:rFonts w:cs="Arial"/>
                <w:color w:val="000000"/>
                <w:sz w:val="22"/>
                <w:szCs w:val="22"/>
              </w:rPr>
            </w:pPr>
            <w:r w:rsidRPr="00063AED">
              <w:rPr>
                <w:rFonts w:cs="Arial"/>
                <w:color w:val="000000"/>
                <w:sz w:val="22"/>
                <w:szCs w:val="22"/>
              </w:rPr>
              <w:t>6</w:t>
            </w:r>
          </w:p>
        </w:tc>
        <w:tc>
          <w:tcPr>
            <w:tcW w:w="709" w:type="dxa"/>
            <w:tcBorders>
              <w:bottom w:val="single" w:sz="4" w:space="0" w:color="auto"/>
            </w:tcBorders>
            <w:vAlign w:val="center"/>
          </w:tcPr>
          <w:p w:rsidR="00C42E20" w:rsidRPr="00063AED" w:rsidRDefault="005E1D76" w:rsidP="00063AED">
            <w:pPr>
              <w:spacing w:before="40" w:after="40" w:line="240" w:lineRule="auto"/>
              <w:jc w:val="center"/>
              <w:rPr>
                <w:rFonts w:cs="Arial"/>
                <w:color w:val="000000"/>
                <w:sz w:val="22"/>
                <w:szCs w:val="22"/>
              </w:rPr>
            </w:pPr>
            <w:r w:rsidRPr="00063AED">
              <w:rPr>
                <w:rFonts w:cs="Arial"/>
                <w:color w:val="000000"/>
                <w:sz w:val="22"/>
                <w:szCs w:val="22"/>
              </w:rPr>
              <w:t> </w:t>
            </w:r>
          </w:p>
        </w:tc>
      </w:tr>
      <w:tr w:rsidR="00DC2721" w:rsidTr="00E42360">
        <w:tc>
          <w:tcPr>
            <w:tcW w:w="3969" w:type="dxa"/>
            <w:tcBorders>
              <w:bottom w:val="single" w:sz="4" w:space="0" w:color="auto"/>
            </w:tcBorders>
          </w:tcPr>
          <w:p w:rsidR="00C42E20" w:rsidRPr="00063AED" w:rsidRDefault="005E1D76" w:rsidP="00063AED">
            <w:pPr>
              <w:tabs>
                <w:tab w:val="left" w:pos="284"/>
              </w:tabs>
              <w:spacing w:before="40" w:after="40" w:line="240" w:lineRule="auto"/>
              <w:rPr>
                <w:rFonts w:cs="Arial"/>
                <w:sz w:val="22"/>
                <w:szCs w:val="22"/>
              </w:rPr>
            </w:pPr>
            <w:r w:rsidRPr="00063AED">
              <w:rPr>
                <w:rFonts w:cs="Arial"/>
                <w:sz w:val="22"/>
                <w:szCs w:val="22"/>
              </w:rPr>
              <w:t>Service support</w:t>
            </w:r>
          </w:p>
        </w:tc>
        <w:tc>
          <w:tcPr>
            <w:tcW w:w="851" w:type="dxa"/>
            <w:tcBorders>
              <w:bottom w:val="single" w:sz="4" w:space="0" w:color="auto"/>
            </w:tcBorders>
            <w:vAlign w:val="center"/>
          </w:tcPr>
          <w:p w:rsidR="00C42E20" w:rsidRPr="00063AED" w:rsidRDefault="005E1D76" w:rsidP="00063AED">
            <w:pPr>
              <w:spacing w:before="40" w:after="40" w:line="240" w:lineRule="auto"/>
              <w:jc w:val="center"/>
              <w:rPr>
                <w:rFonts w:cs="Arial"/>
                <w:color w:val="000000"/>
                <w:sz w:val="22"/>
                <w:szCs w:val="22"/>
              </w:rPr>
            </w:pPr>
            <w:r w:rsidRPr="00063AED">
              <w:rPr>
                <w:rFonts w:cs="Arial"/>
                <w:color w:val="000000"/>
                <w:sz w:val="22"/>
                <w:szCs w:val="22"/>
              </w:rPr>
              <w:t>0</w:t>
            </w:r>
          </w:p>
        </w:tc>
        <w:tc>
          <w:tcPr>
            <w:tcW w:w="850" w:type="dxa"/>
            <w:tcBorders>
              <w:bottom w:val="single" w:sz="4" w:space="0" w:color="auto"/>
            </w:tcBorders>
            <w:vAlign w:val="center"/>
          </w:tcPr>
          <w:p w:rsidR="00C42E20" w:rsidRPr="00063AED" w:rsidRDefault="005E1D76" w:rsidP="00063AED">
            <w:pPr>
              <w:spacing w:before="40" w:after="40" w:line="240" w:lineRule="auto"/>
              <w:jc w:val="center"/>
              <w:rPr>
                <w:rFonts w:cs="Arial"/>
                <w:color w:val="000000"/>
                <w:sz w:val="22"/>
                <w:szCs w:val="22"/>
              </w:rPr>
            </w:pPr>
            <w:r w:rsidRPr="00063AED">
              <w:rPr>
                <w:rFonts w:cs="Arial"/>
                <w:color w:val="000000"/>
                <w:sz w:val="22"/>
                <w:szCs w:val="22"/>
              </w:rPr>
              <w:t> </w:t>
            </w:r>
          </w:p>
        </w:tc>
        <w:tc>
          <w:tcPr>
            <w:tcW w:w="1276" w:type="dxa"/>
            <w:tcBorders>
              <w:bottom w:val="single" w:sz="4" w:space="0" w:color="auto"/>
            </w:tcBorders>
            <w:vAlign w:val="center"/>
          </w:tcPr>
          <w:p w:rsidR="00C42E20" w:rsidRPr="00063AED" w:rsidRDefault="005E1D76" w:rsidP="00063AED">
            <w:pPr>
              <w:spacing w:before="40" w:after="40" w:line="240" w:lineRule="auto"/>
              <w:jc w:val="center"/>
              <w:rPr>
                <w:rFonts w:cs="Arial"/>
                <w:color w:val="000000"/>
                <w:sz w:val="22"/>
                <w:szCs w:val="22"/>
              </w:rPr>
            </w:pPr>
            <w:r w:rsidRPr="00063AED">
              <w:rPr>
                <w:rFonts w:cs="Arial"/>
                <w:color w:val="000000"/>
                <w:sz w:val="22"/>
                <w:szCs w:val="22"/>
              </w:rPr>
              <w:t> </w:t>
            </w:r>
          </w:p>
        </w:tc>
        <w:tc>
          <w:tcPr>
            <w:tcW w:w="850" w:type="dxa"/>
            <w:tcBorders>
              <w:bottom w:val="single" w:sz="4" w:space="0" w:color="auto"/>
            </w:tcBorders>
            <w:vAlign w:val="center"/>
          </w:tcPr>
          <w:p w:rsidR="00C42E20" w:rsidRPr="00063AED" w:rsidRDefault="005E1D76" w:rsidP="00063AED">
            <w:pPr>
              <w:spacing w:before="40" w:after="40" w:line="240" w:lineRule="auto"/>
              <w:jc w:val="center"/>
              <w:rPr>
                <w:rFonts w:cs="Arial"/>
                <w:color w:val="000000"/>
                <w:sz w:val="22"/>
                <w:szCs w:val="22"/>
              </w:rPr>
            </w:pPr>
            <w:r w:rsidRPr="00063AED">
              <w:rPr>
                <w:rFonts w:cs="Arial"/>
                <w:color w:val="000000"/>
                <w:sz w:val="22"/>
                <w:szCs w:val="22"/>
              </w:rPr>
              <w:t> </w:t>
            </w:r>
          </w:p>
        </w:tc>
        <w:tc>
          <w:tcPr>
            <w:tcW w:w="709" w:type="dxa"/>
            <w:tcBorders>
              <w:bottom w:val="single" w:sz="4" w:space="0" w:color="auto"/>
            </w:tcBorders>
            <w:vAlign w:val="center"/>
          </w:tcPr>
          <w:p w:rsidR="00C42E20" w:rsidRPr="00063AED" w:rsidRDefault="005E1D76" w:rsidP="00063AED">
            <w:pPr>
              <w:spacing w:before="40" w:after="40" w:line="240" w:lineRule="auto"/>
              <w:jc w:val="center"/>
              <w:rPr>
                <w:rFonts w:cs="Arial"/>
                <w:color w:val="000000"/>
                <w:sz w:val="22"/>
                <w:szCs w:val="22"/>
              </w:rPr>
            </w:pPr>
            <w:r w:rsidRPr="00063AED">
              <w:rPr>
                <w:rFonts w:cs="Arial"/>
                <w:color w:val="000000"/>
                <w:sz w:val="22"/>
                <w:szCs w:val="22"/>
              </w:rPr>
              <w:t> </w:t>
            </w:r>
          </w:p>
        </w:tc>
      </w:tr>
      <w:tr w:rsidR="00DC2721" w:rsidTr="00E42360">
        <w:tc>
          <w:tcPr>
            <w:tcW w:w="3969" w:type="dxa"/>
            <w:tcBorders>
              <w:bottom w:val="single" w:sz="4" w:space="0" w:color="auto"/>
            </w:tcBorders>
          </w:tcPr>
          <w:p w:rsidR="00C42E20" w:rsidRPr="00063AED" w:rsidRDefault="005E1D76" w:rsidP="00063AED">
            <w:pPr>
              <w:tabs>
                <w:tab w:val="left" w:pos="284"/>
              </w:tabs>
              <w:spacing w:before="40" w:after="40" w:line="240" w:lineRule="auto"/>
              <w:rPr>
                <w:rFonts w:cs="Arial"/>
                <w:sz w:val="22"/>
                <w:szCs w:val="22"/>
              </w:rPr>
            </w:pPr>
            <w:r w:rsidRPr="00063AED">
              <w:rPr>
                <w:rFonts w:cs="Arial"/>
                <w:sz w:val="22"/>
                <w:szCs w:val="22"/>
              </w:rPr>
              <w:t>Business processes</w:t>
            </w:r>
          </w:p>
        </w:tc>
        <w:tc>
          <w:tcPr>
            <w:tcW w:w="851" w:type="dxa"/>
            <w:tcBorders>
              <w:bottom w:val="single" w:sz="4" w:space="0" w:color="auto"/>
            </w:tcBorders>
            <w:vAlign w:val="center"/>
          </w:tcPr>
          <w:p w:rsidR="00C42E20" w:rsidRPr="00063AED" w:rsidRDefault="005E1D76" w:rsidP="00063AED">
            <w:pPr>
              <w:spacing w:before="40" w:after="40" w:line="240" w:lineRule="auto"/>
              <w:jc w:val="center"/>
              <w:rPr>
                <w:rFonts w:cs="Arial"/>
                <w:color w:val="000000"/>
                <w:sz w:val="22"/>
                <w:szCs w:val="22"/>
              </w:rPr>
            </w:pPr>
            <w:r w:rsidRPr="00063AED">
              <w:rPr>
                <w:rFonts w:cs="Arial"/>
                <w:color w:val="000000"/>
                <w:sz w:val="22"/>
                <w:szCs w:val="22"/>
              </w:rPr>
              <w:t>12</w:t>
            </w:r>
          </w:p>
        </w:tc>
        <w:tc>
          <w:tcPr>
            <w:tcW w:w="850" w:type="dxa"/>
            <w:tcBorders>
              <w:bottom w:val="single" w:sz="4" w:space="0" w:color="auto"/>
            </w:tcBorders>
            <w:vAlign w:val="center"/>
          </w:tcPr>
          <w:p w:rsidR="00C42E20" w:rsidRPr="00063AED" w:rsidRDefault="005E1D76" w:rsidP="00063AED">
            <w:pPr>
              <w:spacing w:before="40" w:after="40" w:line="240" w:lineRule="auto"/>
              <w:jc w:val="center"/>
              <w:rPr>
                <w:rFonts w:cs="Arial"/>
                <w:color w:val="000000"/>
                <w:sz w:val="22"/>
                <w:szCs w:val="22"/>
              </w:rPr>
            </w:pPr>
            <w:r w:rsidRPr="00063AED">
              <w:rPr>
                <w:rFonts w:cs="Arial"/>
                <w:color w:val="000000"/>
                <w:sz w:val="22"/>
                <w:szCs w:val="22"/>
              </w:rPr>
              <w:t>2</w:t>
            </w:r>
          </w:p>
        </w:tc>
        <w:tc>
          <w:tcPr>
            <w:tcW w:w="1276" w:type="dxa"/>
            <w:tcBorders>
              <w:bottom w:val="single" w:sz="4" w:space="0" w:color="auto"/>
            </w:tcBorders>
            <w:vAlign w:val="center"/>
          </w:tcPr>
          <w:p w:rsidR="00C42E20" w:rsidRPr="00063AED" w:rsidRDefault="005E1D76" w:rsidP="00063AED">
            <w:pPr>
              <w:spacing w:before="40" w:after="40" w:line="240" w:lineRule="auto"/>
              <w:jc w:val="center"/>
              <w:rPr>
                <w:rFonts w:cs="Arial"/>
                <w:color w:val="000000"/>
                <w:sz w:val="22"/>
                <w:szCs w:val="22"/>
              </w:rPr>
            </w:pPr>
            <w:r w:rsidRPr="00063AED">
              <w:rPr>
                <w:rFonts w:cs="Arial"/>
                <w:color w:val="000000"/>
                <w:sz w:val="22"/>
                <w:szCs w:val="22"/>
              </w:rPr>
              <w:t>9</w:t>
            </w:r>
          </w:p>
        </w:tc>
        <w:tc>
          <w:tcPr>
            <w:tcW w:w="850" w:type="dxa"/>
            <w:tcBorders>
              <w:bottom w:val="single" w:sz="4" w:space="0" w:color="auto"/>
            </w:tcBorders>
            <w:vAlign w:val="center"/>
          </w:tcPr>
          <w:p w:rsidR="00C42E20" w:rsidRPr="00063AED" w:rsidRDefault="005E1D76" w:rsidP="00063AED">
            <w:pPr>
              <w:spacing w:before="40" w:after="40" w:line="240" w:lineRule="auto"/>
              <w:jc w:val="center"/>
              <w:rPr>
                <w:rFonts w:cs="Arial"/>
                <w:color w:val="000000"/>
                <w:sz w:val="22"/>
                <w:szCs w:val="22"/>
              </w:rPr>
            </w:pPr>
            <w:r w:rsidRPr="00063AED">
              <w:rPr>
                <w:rFonts w:cs="Arial"/>
                <w:color w:val="000000"/>
                <w:sz w:val="22"/>
                <w:szCs w:val="22"/>
              </w:rPr>
              <w:t>1</w:t>
            </w:r>
          </w:p>
        </w:tc>
        <w:tc>
          <w:tcPr>
            <w:tcW w:w="709" w:type="dxa"/>
            <w:tcBorders>
              <w:bottom w:val="single" w:sz="4" w:space="0" w:color="auto"/>
            </w:tcBorders>
            <w:vAlign w:val="center"/>
          </w:tcPr>
          <w:p w:rsidR="00C42E20" w:rsidRPr="00063AED" w:rsidRDefault="005E1D76" w:rsidP="00063AED">
            <w:pPr>
              <w:spacing w:before="40" w:after="40" w:line="240" w:lineRule="auto"/>
              <w:jc w:val="center"/>
              <w:rPr>
                <w:rFonts w:cs="Arial"/>
                <w:color w:val="000000"/>
                <w:sz w:val="22"/>
                <w:szCs w:val="22"/>
              </w:rPr>
            </w:pPr>
            <w:r w:rsidRPr="00063AED">
              <w:rPr>
                <w:rFonts w:cs="Arial"/>
                <w:color w:val="000000"/>
                <w:sz w:val="22"/>
                <w:szCs w:val="22"/>
              </w:rPr>
              <w:t> </w:t>
            </w:r>
          </w:p>
        </w:tc>
      </w:tr>
      <w:tr w:rsidR="00DC2721" w:rsidTr="00E42360">
        <w:tc>
          <w:tcPr>
            <w:tcW w:w="3969" w:type="dxa"/>
          </w:tcPr>
          <w:p w:rsidR="00C42E20" w:rsidRPr="00063AED" w:rsidRDefault="005E1D76" w:rsidP="00063AED">
            <w:pPr>
              <w:tabs>
                <w:tab w:val="left" w:pos="284"/>
              </w:tabs>
              <w:spacing w:before="40" w:after="40" w:line="240" w:lineRule="auto"/>
              <w:rPr>
                <w:rFonts w:cs="Arial"/>
                <w:b/>
                <w:sz w:val="22"/>
                <w:szCs w:val="22"/>
              </w:rPr>
            </w:pPr>
            <w:r w:rsidRPr="00063AED">
              <w:rPr>
                <w:rFonts w:cs="Arial"/>
                <w:b/>
                <w:sz w:val="22"/>
                <w:szCs w:val="22"/>
              </w:rPr>
              <w:t xml:space="preserve">Total </w:t>
            </w:r>
          </w:p>
        </w:tc>
        <w:tc>
          <w:tcPr>
            <w:tcW w:w="851" w:type="dxa"/>
            <w:vAlign w:val="center"/>
          </w:tcPr>
          <w:p w:rsidR="00C42E20" w:rsidRPr="00063AED" w:rsidRDefault="005E1D76" w:rsidP="00063AED">
            <w:pPr>
              <w:spacing w:before="40" w:after="40" w:line="240" w:lineRule="auto"/>
              <w:jc w:val="center"/>
              <w:rPr>
                <w:rFonts w:cs="Arial"/>
                <w:color w:val="000000"/>
                <w:sz w:val="22"/>
                <w:szCs w:val="22"/>
              </w:rPr>
            </w:pPr>
            <w:r w:rsidRPr="00063AED">
              <w:rPr>
                <w:rFonts w:cs="Arial"/>
                <w:color w:val="000000"/>
                <w:sz w:val="22"/>
                <w:szCs w:val="22"/>
              </w:rPr>
              <w:t>31</w:t>
            </w:r>
          </w:p>
        </w:tc>
        <w:tc>
          <w:tcPr>
            <w:tcW w:w="850" w:type="dxa"/>
            <w:vAlign w:val="center"/>
          </w:tcPr>
          <w:p w:rsidR="00C42E20" w:rsidRPr="00063AED" w:rsidRDefault="005E1D76" w:rsidP="00063AED">
            <w:pPr>
              <w:spacing w:before="40" w:after="40" w:line="240" w:lineRule="auto"/>
              <w:jc w:val="center"/>
              <w:rPr>
                <w:rFonts w:cs="Arial"/>
                <w:b/>
                <w:bCs/>
                <w:color w:val="000000"/>
                <w:sz w:val="22"/>
                <w:szCs w:val="22"/>
              </w:rPr>
            </w:pPr>
            <w:r w:rsidRPr="00063AED">
              <w:rPr>
                <w:rFonts w:cs="Arial"/>
                <w:b/>
                <w:bCs/>
                <w:color w:val="000000"/>
                <w:sz w:val="22"/>
                <w:szCs w:val="22"/>
              </w:rPr>
              <w:t>3</w:t>
            </w:r>
          </w:p>
        </w:tc>
        <w:tc>
          <w:tcPr>
            <w:tcW w:w="1276" w:type="dxa"/>
            <w:vAlign w:val="center"/>
          </w:tcPr>
          <w:p w:rsidR="00C42E20" w:rsidRPr="00063AED" w:rsidRDefault="005E1D76" w:rsidP="00063AED">
            <w:pPr>
              <w:spacing w:before="40" w:after="40" w:line="240" w:lineRule="auto"/>
              <w:jc w:val="center"/>
              <w:rPr>
                <w:rFonts w:cs="Arial"/>
                <w:b/>
                <w:bCs/>
                <w:color w:val="000000"/>
                <w:sz w:val="22"/>
                <w:szCs w:val="22"/>
              </w:rPr>
            </w:pPr>
            <w:r w:rsidRPr="00063AED">
              <w:rPr>
                <w:rFonts w:cs="Arial"/>
                <w:b/>
                <w:bCs/>
                <w:color w:val="000000"/>
                <w:sz w:val="22"/>
                <w:szCs w:val="22"/>
              </w:rPr>
              <w:t>21</w:t>
            </w:r>
          </w:p>
        </w:tc>
        <w:tc>
          <w:tcPr>
            <w:tcW w:w="850" w:type="dxa"/>
            <w:vAlign w:val="center"/>
          </w:tcPr>
          <w:p w:rsidR="00C42E20" w:rsidRPr="00063AED" w:rsidRDefault="005E1D76" w:rsidP="00063AED">
            <w:pPr>
              <w:spacing w:before="40" w:after="40" w:line="240" w:lineRule="auto"/>
              <w:jc w:val="center"/>
              <w:rPr>
                <w:rFonts w:cs="Arial"/>
                <w:b/>
                <w:bCs/>
                <w:color w:val="000000"/>
                <w:sz w:val="22"/>
                <w:szCs w:val="22"/>
              </w:rPr>
            </w:pPr>
            <w:r w:rsidRPr="00063AED">
              <w:rPr>
                <w:rFonts w:cs="Arial"/>
                <w:b/>
                <w:bCs/>
                <w:color w:val="000000"/>
                <w:sz w:val="22"/>
                <w:szCs w:val="22"/>
              </w:rPr>
              <w:t>7</w:t>
            </w:r>
          </w:p>
        </w:tc>
        <w:tc>
          <w:tcPr>
            <w:tcW w:w="709" w:type="dxa"/>
            <w:vAlign w:val="center"/>
          </w:tcPr>
          <w:p w:rsidR="00C42E20" w:rsidRPr="00063AED" w:rsidRDefault="005E1D76" w:rsidP="00063AED">
            <w:pPr>
              <w:spacing w:before="40" w:after="40" w:line="240" w:lineRule="auto"/>
              <w:jc w:val="center"/>
              <w:rPr>
                <w:rFonts w:cs="Arial"/>
                <w:b/>
                <w:bCs/>
                <w:color w:val="000000"/>
                <w:sz w:val="22"/>
                <w:szCs w:val="22"/>
              </w:rPr>
            </w:pPr>
            <w:r w:rsidRPr="00063AED">
              <w:rPr>
                <w:rFonts w:cs="Arial"/>
                <w:b/>
                <w:bCs/>
                <w:color w:val="000000"/>
                <w:sz w:val="22"/>
                <w:szCs w:val="22"/>
              </w:rPr>
              <w:t>0</w:t>
            </w:r>
          </w:p>
        </w:tc>
      </w:tr>
      <w:tr w:rsidR="00DC2721" w:rsidTr="00E42360">
        <w:tc>
          <w:tcPr>
            <w:tcW w:w="3969" w:type="dxa"/>
            <w:tcBorders>
              <w:bottom w:val="single" w:sz="4" w:space="0" w:color="auto"/>
            </w:tcBorders>
          </w:tcPr>
          <w:p w:rsidR="00E42360" w:rsidRPr="00063AED" w:rsidRDefault="006E2E49" w:rsidP="00063AED">
            <w:pPr>
              <w:tabs>
                <w:tab w:val="left" w:pos="284"/>
              </w:tabs>
              <w:spacing w:before="40" w:after="40"/>
              <w:rPr>
                <w:rFonts w:cs="Arial"/>
                <w:b/>
                <w:sz w:val="22"/>
                <w:szCs w:val="22"/>
              </w:rPr>
            </w:pPr>
          </w:p>
        </w:tc>
        <w:tc>
          <w:tcPr>
            <w:tcW w:w="851" w:type="dxa"/>
            <w:tcBorders>
              <w:bottom w:val="single" w:sz="4" w:space="0" w:color="auto"/>
            </w:tcBorders>
            <w:vAlign w:val="center"/>
          </w:tcPr>
          <w:p w:rsidR="00E42360" w:rsidRPr="00063AED" w:rsidRDefault="005E1D76" w:rsidP="00063AED">
            <w:pPr>
              <w:spacing w:before="40" w:after="40"/>
              <w:jc w:val="center"/>
              <w:rPr>
                <w:rFonts w:cs="Arial"/>
                <w:color w:val="000000"/>
                <w:sz w:val="22"/>
                <w:szCs w:val="22"/>
              </w:rPr>
            </w:pPr>
            <w:r w:rsidRPr="00063AED">
              <w:rPr>
                <w:rFonts w:cs="Arial"/>
                <w:color w:val="000000"/>
                <w:sz w:val="22"/>
                <w:szCs w:val="22"/>
              </w:rPr>
              <w:t>100%</w:t>
            </w:r>
          </w:p>
        </w:tc>
        <w:tc>
          <w:tcPr>
            <w:tcW w:w="850" w:type="dxa"/>
            <w:tcBorders>
              <w:bottom w:val="single" w:sz="4" w:space="0" w:color="auto"/>
            </w:tcBorders>
            <w:vAlign w:val="center"/>
          </w:tcPr>
          <w:p w:rsidR="00E42360" w:rsidRPr="00063AED" w:rsidRDefault="005E1D76" w:rsidP="00063AED">
            <w:pPr>
              <w:spacing w:before="40" w:after="40"/>
              <w:jc w:val="center"/>
              <w:rPr>
                <w:rFonts w:cs="Arial"/>
                <w:bCs/>
                <w:color w:val="000000"/>
                <w:sz w:val="22"/>
                <w:szCs w:val="22"/>
              </w:rPr>
            </w:pPr>
            <w:r w:rsidRPr="00063AED">
              <w:rPr>
                <w:rFonts w:cs="Arial"/>
                <w:bCs/>
                <w:color w:val="000000"/>
                <w:sz w:val="22"/>
                <w:szCs w:val="22"/>
              </w:rPr>
              <w:t>10%</w:t>
            </w:r>
          </w:p>
        </w:tc>
        <w:tc>
          <w:tcPr>
            <w:tcW w:w="1276" w:type="dxa"/>
            <w:tcBorders>
              <w:bottom w:val="single" w:sz="4" w:space="0" w:color="auto"/>
            </w:tcBorders>
            <w:vAlign w:val="center"/>
          </w:tcPr>
          <w:p w:rsidR="00E42360" w:rsidRPr="00063AED" w:rsidRDefault="005E1D76" w:rsidP="00063AED">
            <w:pPr>
              <w:spacing w:before="40" w:after="40"/>
              <w:jc w:val="center"/>
              <w:rPr>
                <w:rFonts w:cs="Arial"/>
                <w:bCs/>
                <w:color w:val="000000"/>
                <w:sz w:val="22"/>
                <w:szCs w:val="22"/>
              </w:rPr>
            </w:pPr>
            <w:r w:rsidRPr="00063AED">
              <w:rPr>
                <w:rFonts w:cs="Arial"/>
                <w:bCs/>
                <w:color w:val="000000"/>
                <w:sz w:val="22"/>
                <w:szCs w:val="22"/>
              </w:rPr>
              <w:t>68%</w:t>
            </w:r>
          </w:p>
        </w:tc>
        <w:tc>
          <w:tcPr>
            <w:tcW w:w="850" w:type="dxa"/>
            <w:tcBorders>
              <w:bottom w:val="single" w:sz="4" w:space="0" w:color="auto"/>
            </w:tcBorders>
            <w:vAlign w:val="center"/>
          </w:tcPr>
          <w:p w:rsidR="00E42360" w:rsidRPr="00063AED" w:rsidRDefault="005E1D76" w:rsidP="00063AED">
            <w:pPr>
              <w:spacing w:before="40" w:after="40"/>
              <w:jc w:val="center"/>
              <w:rPr>
                <w:rFonts w:cs="Arial"/>
                <w:bCs/>
                <w:color w:val="000000"/>
                <w:sz w:val="22"/>
                <w:szCs w:val="22"/>
              </w:rPr>
            </w:pPr>
            <w:r w:rsidRPr="00063AED">
              <w:rPr>
                <w:rFonts w:cs="Arial"/>
                <w:bCs/>
                <w:color w:val="000000"/>
                <w:sz w:val="22"/>
                <w:szCs w:val="22"/>
              </w:rPr>
              <w:t>23%</w:t>
            </w:r>
          </w:p>
        </w:tc>
        <w:tc>
          <w:tcPr>
            <w:tcW w:w="709" w:type="dxa"/>
            <w:tcBorders>
              <w:bottom w:val="single" w:sz="4" w:space="0" w:color="auto"/>
            </w:tcBorders>
            <w:vAlign w:val="center"/>
          </w:tcPr>
          <w:p w:rsidR="00E42360" w:rsidRPr="00063AED" w:rsidRDefault="005E1D76" w:rsidP="00063AED">
            <w:pPr>
              <w:spacing w:before="40" w:after="40"/>
              <w:jc w:val="center"/>
              <w:rPr>
                <w:rFonts w:cs="Arial"/>
                <w:bCs/>
                <w:color w:val="000000"/>
                <w:sz w:val="22"/>
                <w:szCs w:val="22"/>
              </w:rPr>
            </w:pPr>
            <w:r w:rsidRPr="00063AED">
              <w:rPr>
                <w:rFonts w:cs="Arial"/>
                <w:bCs/>
                <w:color w:val="000000"/>
                <w:sz w:val="22"/>
                <w:szCs w:val="22"/>
              </w:rPr>
              <w:t>-</w:t>
            </w:r>
          </w:p>
        </w:tc>
      </w:tr>
    </w:tbl>
    <w:p w:rsidR="008B7897" w:rsidRDefault="005E1D76" w:rsidP="00691761">
      <w:pPr>
        <w:numPr>
          <w:ilvl w:val="1"/>
          <w:numId w:val="1"/>
        </w:numPr>
        <w:spacing w:before="120" w:after="120"/>
      </w:pPr>
      <w:r>
        <w:t>Set out below is the assurance provided in 2016/17, when a greater proportion of audit work was directed to areas that were understood to be less problematic.</w:t>
      </w:r>
    </w:p>
    <w:tbl>
      <w:tblPr>
        <w:tblStyle w:val="TableGrid"/>
        <w:tblW w:w="8505" w:type="dxa"/>
        <w:tblInd w:w="704" w:type="dxa"/>
        <w:tblLayout w:type="fixed"/>
        <w:tblLook w:val="04A0" w:firstRow="1" w:lastRow="0" w:firstColumn="1" w:lastColumn="0" w:noHBand="0" w:noVBand="1"/>
      </w:tblPr>
      <w:tblGrid>
        <w:gridCol w:w="3969"/>
        <w:gridCol w:w="851"/>
        <w:gridCol w:w="850"/>
        <w:gridCol w:w="1276"/>
        <w:gridCol w:w="850"/>
        <w:gridCol w:w="709"/>
      </w:tblGrid>
      <w:tr w:rsidR="00DC2721" w:rsidTr="00E12E24">
        <w:tc>
          <w:tcPr>
            <w:tcW w:w="3969" w:type="dxa"/>
            <w:vMerge w:val="restart"/>
            <w:tcBorders>
              <w:top w:val="single" w:sz="4" w:space="0" w:color="auto"/>
              <w:left w:val="single" w:sz="4" w:space="0" w:color="auto"/>
            </w:tcBorders>
          </w:tcPr>
          <w:p w:rsidR="001E1FCB" w:rsidRPr="0089535E" w:rsidRDefault="005E1D76" w:rsidP="00063AED">
            <w:pPr>
              <w:tabs>
                <w:tab w:val="left" w:pos="284"/>
              </w:tabs>
              <w:spacing w:before="40" w:after="40" w:line="240" w:lineRule="auto"/>
              <w:rPr>
                <w:b/>
                <w:sz w:val="22"/>
                <w:szCs w:val="22"/>
              </w:rPr>
            </w:pPr>
            <w:r w:rsidRPr="00187E91">
              <w:rPr>
                <w:b/>
              </w:rPr>
              <w:t>2016/17</w:t>
            </w:r>
            <w:r>
              <w:rPr>
                <w:b/>
              </w:rPr>
              <w:t xml:space="preserve"> a</w:t>
            </w:r>
            <w:r w:rsidRPr="0089535E">
              <w:rPr>
                <w:b/>
                <w:sz w:val="22"/>
                <w:szCs w:val="22"/>
              </w:rPr>
              <w:t>ssignments relating to:</w:t>
            </w:r>
          </w:p>
        </w:tc>
        <w:tc>
          <w:tcPr>
            <w:tcW w:w="851" w:type="dxa"/>
            <w:vMerge w:val="restart"/>
          </w:tcPr>
          <w:p w:rsidR="001E1FCB" w:rsidRPr="00B665BF" w:rsidRDefault="005E1D76" w:rsidP="00063AED">
            <w:pPr>
              <w:tabs>
                <w:tab w:val="left" w:pos="284"/>
              </w:tabs>
              <w:spacing w:before="40" w:after="40" w:line="240" w:lineRule="auto"/>
              <w:jc w:val="center"/>
              <w:rPr>
                <w:b/>
                <w:sz w:val="20"/>
                <w:szCs w:val="20"/>
              </w:rPr>
            </w:pPr>
            <w:r>
              <w:rPr>
                <w:b/>
                <w:sz w:val="20"/>
                <w:szCs w:val="20"/>
              </w:rPr>
              <w:t>Total audits</w:t>
            </w:r>
          </w:p>
        </w:tc>
        <w:tc>
          <w:tcPr>
            <w:tcW w:w="3685" w:type="dxa"/>
            <w:gridSpan w:val="4"/>
          </w:tcPr>
          <w:p w:rsidR="001E1FCB" w:rsidRPr="00B665BF" w:rsidRDefault="005E1D76" w:rsidP="00063AED">
            <w:pPr>
              <w:tabs>
                <w:tab w:val="left" w:pos="284"/>
              </w:tabs>
              <w:spacing w:before="40" w:after="40" w:line="240" w:lineRule="auto"/>
              <w:jc w:val="center"/>
              <w:rPr>
                <w:b/>
                <w:sz w:val="20"/>
                <w:szCs w:val="20"/>
              </w:rPr>
            </w:pPr>
            <w:r w:rsidRPr="00B665BF">
              <w:rPr>
                <w:b/>
                <w:sz w:val="20"/>
                <w:szCs w:val="20"/>
              </w:rPr>
              <w:t>Assurance</w:t>
            </w:r>
          </w:p>
        </w:tc>
      </w:tr>
      <w:tr w:rsidR="00DC2721" w:rsidTr="001E1FCB">
        <w:trPr>
          <w:trHeight w:val="217"/>
        </w:trPr>
        <w:tc>
          <w:tcPr>
            <w:tcW w:w="3969" w:type="dxa"/>
            <w:vMerge/>
            <w:tcBorders>
              <w:left w:val="single" w:sz="4" w:space="0" w:color="auto"/>
            </w:tcBorders>
          </w:tcPr>
          <w:p w:rsidR="001E1FCB" w:rsidRPr="0089535E" w:rsidRDefault="006E2E49" w:rsidP="00063AED">
            <w:pPr>
              <w:tabs>
                <w:tab w:val="left" w:pos="284"/>
              </w:tabs>
              <w:spacing w:before="40" w:after="40" w:line="240" w:lineRule="auto"/>
              <w:rPr>
                <w:b/>
                <w:sz w:val="22"/>
                <w:szCs w:val="22"/>
              </w:rPr>
            </w:pPr>
          </w:p>
        </w:tc>
        <w:tc>
          <w:tcPr>
            <w:tcW w:w="851" w:type="dxa"/>
            <w:vMerge/>
          </w:tcPr>
          <w:p w:rsidR="001E1FCB" w:rsidRPr="00F60598" w:rsidRDefault="006E2E49" w:rsidP="00063AED">
            <w:pPr>
              <w:tabs>
                <w:tab w:val="left" w:pos="284"/>
              </w:tabs>
              <w:spacing w:before="40" w:after="40" w:line="240" w:lineRule="auto"/>
              <w:jc w:val="center"/>
              <w:rPr>
                <w:b/>
                <w:sz w:val="20"/>
                <w:szCs w:val="20"/>
              </w:rPr>
            </w:pPr>
          </w:p>
        </w:tc>
        <w:tc>
          <w:tcPr>
            <w:tcW w:w="850" w:type="dxa"/>
            <w:tcMar>
              <w:left w:w="57" w:type="dxa"/>
              <w:right w:w="57" w:type="dxa"/>
            </w:tcMar>
          </w:tcPr>
          <w:p w:rsidR="001E1FCB" w:rsidRPr="00F60598" w:rsidRDefault="005E1D76" w:rsidP="00063AED">
            <w:pPr>
              <w:tabs>
                <w:tab w:val="left" w:pos="284"/>
              </w:tabs>
              <w:spacing w:before="40" w:after="40" w:line="240" w:lineRule="auto"/>
              <w:jc w:val="center"/>
              <w:rPr>
                <w:b/>
                <w:sz w:val="20"/>
                <w:szCs w:val="20"/>
              </w:rPr>
            </w:pPr>
            <w:r w:rsidRPr="00F60598">
              <w:rPr>
                <w:b/>
                <w:sz w:val="20"/>
                <w:szCs w:val="20"/>
              </w:rPr>
              <w:t>Full</w:t>
            </w:r>
          </w:p>
        </w:tc>
        <w:tc>
          <w:tcPr>
            <w:tcW w:w="1276" w:type="dxa"/>
            <w:tcMar>
              <w:left w:w="57" w:type="dxa"/>
              <w:right w:w="57" w:type="dxa"/>
            </w:tcMar>
          </w:tcPr>
          <w:p w:rsidR="001E1FCB" w:rsidRPr="00F60598" w:rsidRDefault="005E1D76" w:rsidP="00063AED">
            <w:pPr>
              <w:tabs>
                <w:tab w:val="left" w:pos="284"/>
              </w:tabs>
              <w:spacing w:before="40" w:after="40" w:line="240" w:lineRule="auto"/>
              <w:jc w:val="center"/>
              <w:rPr>
                <w:b/>
                <w:sz w:val="20"/>
                <w:szCs w:val="20"/>
              </w:rPr>
            </w:pPr>
            <w:r w:rsidRPr="00F60598">
              <w:rPr>
                <w:b/>
                <w:sz w:val="20"/>
                <w:szCs w:val="20"/>
              </w:rPr>
              <w:t>Substantial</w:t>
            </w:r>
          </w:p>
        </w:tc>
        <w:tc>
          <w:tcPr>
            <w:tcW w:w="850" w:type="dxa"/>
            <w:tcMar>
              <w:left w:w="57" w:type="dxa"/>
              <w:right w:w="57" w:type="dxa"/>
            </w:tcMar>
          </w:tcPr>
          <w:p w:rsidR="001E1FCB" w:rsidRPr="00F60598" w:rsidRDefault="005E1D76" w:rsidP="00063AED">
            <w:pPr>
              <w:tabs>
                <w:tab w:val="left" w:pos="284"/>
              </w:tabs>
              <w:spacing w:before="40" w:after="40" w:line="240" w:lineRule="auto"/>
              <w:jc w:val="center"/>
              <w:rPr>
                <w:b/>
                <w:sz w:val="20"/>
                <w:szCs w:val="20"/>
              </w:rPr>
            </w:pPr>
            <w:r w:rsidRPr="00F60598">
              <w:rPr>
                <w:b/>
                <w:sz w:val="20"/>
                <w:szCs w:val="20"/>
              </w:rPr>
              <w:t>Limited</w:t>
            </w:r>
          </w:p>
        </w:tc>
        <w:tc>
          <w:tcPr>
            <w:tcW w:w="709" w:type="dxa"/>
            <w:tcMar>
              <w:left w:w="57" w:type="dxa"/>
              <w:right w:w="57" w:type="dxa"/>
            </w:tcMar>
          </w:tcPr>
          <w:p w:rsidR="001E1FCB" w:rsidRPr="00F60598" w:rsidRDefault="005E1D76" w:rsidP="00063AED">
            <w:pPr>
              <w:tabs>
                <w:tab w:val="left" w:pos="284"/>
              </w:tabs>
              <w:spacing w:before="40" w:after="40" w:line="240" w:lineRule="auto"/>
              <w:jc w:val="center"/>
              <w:rPr>
                <w:b/>
                <w:sz w:val="20"/>
                <w:szCs w:val="20"/>
              </w:rPr>
            </w:pPr>
            <w:r w:rsidRPr="00F60598">
              <w:rPr>
                <w:b/>
                <w:sz w:val="20"/>
                <w:szCs w:val="20"/>
              </w:rPr>
              <w:t>N</w:t>
            </w:r>
            <w:r>
              <w:rPr>
                <w:b/>
                <w:sz w:val="20"/>
                <w:szCs w:val="20"/>
              </w:rPr>
              <w:t>one</w:t>
            </w:r>
          </w:p>
        </w:tc>
      </w:tr>
      <w:tr w:rsidR="00DC2721" w:rsidTr="001E1FCB">
        <w:tc>
          <w:tcPr>
            <w:tcW w:w="3969" w:type="dxa"/>
          </w:tcPr>
          <w:p w:rsidR="001E1FCB" w:rsidRPr="00CD6FA9" w:rsidRDefault="005E1D76" w:rsidP="00063AED">
            <w:pPr>
              <w:tabs>
                <w:tab w:val="left" w:pos="284"/>
              </w:tabs>
              <w:spacing w:before="40" w:after="40" w:line="240" w:lineRule="auto"/>
              <w:rPr>
                <w:sz w:val="22"/>
                <w:szCs w:val="22"/>
              </w:rPr>
            </w:pPr>
            <w:r>
              <w:rPr>
                <w:sz w:val="22"/>
                <w:szCs w:val="22"/>
              </w:rPr>
              <w:t>Governance and democratic oversight</w:t>
            </w:r>
          </w:p>
        </w:tc>
        <w:tc>
          <w:tcPr>
            <w:tcW w:w="851" w:type="dxa"/>
          </w:tcPr>
          <w:p w:rsidR="001E1FCB" w:rsidRPr="00391029" w:rsidRDefault="005E1D76" w:rsidP="00063AED">
            <w:pPr>
              <w:tabs>
                <w:tab w:val="left" w:pos="284"/>
              </w:tabs>
              <w:spacing w:before="40" w:after="40" w:line="240" w:lineRule="auto"/>
              <w:jc w:val="center"/>
              <w:rPr>
                <w:sz w:val="22"/>
                <w:szCs w:val="22"/>
              </w:rPr>
            </w:pPr>
            <w:r>
              <w:rPr>
                <w:sz w:val="22"/>
                <w:szCs w:val="22"/>
              </w:rPr>
              <w:t>1</w:t>
            </w:r>
          </w:p>
        </w:tc>
        <w:tc>
          <w:tcPr>
            <w:tcW w:w="850" w:type="dxa"/>
          </w:tcPr>
          <w:p w:rsidR="001E1FCB" w:rsidRPr="00391029" w:rsidRDefault="006E2E49" w:rsidP="00063AED">
            <w:pPr>
              <w:tabs>
                <w:tab w:val="left" w:pos="284"/>
              </w:tabs>
              <w:spacing w:before="40" w:after="40" w:line="240" w:lineRule="auto"/>
              <w:jc w:val="center"/>
              <w:rPr>
                <w:sz w:val="22"/>
                <w:szCs w:val="22"/>
              </w:rPr>
            </w:pPr>
          </w:p>
        </w:tc>
        <w:tc>
          <w:tcPr>
            <w:tcW w:w="1276" w:type="dxa"/>
          </w:tcPr>
          <w:p w:rsidR="001E1FCB" w:rsidRPr="00391029" w:rsidRDefault="005E1D76" w:rsidP="00063AED">
            <w:pPr>
              <w:tabs>
                <w:tab w:val="left" w:pos="284"/>
              </w:tabs>
              <w:spacing w:before="40" w:after="40" w:line="240" w:lineRule="auto"/>
              <w:jc w:val="center"/>
              <w:rPr>
                <w:sz w:val="22"/>
                <w:szCs w:val="22"/>
              </w:rPr>
            </w:pPr>
            <w:r>
              <w:rPr>
                <w:sz w:val="22"/>
                <w:szCs w:val="22"/>
              </w:rPr>
              <w:t>1</w:t>
            </w:r>
          </w:p>
        </w:tc>
        <w:tc>
          <w:tcPr>
            <w:tcW w:w="850" w:type="dxa"/>
          </w:tcPr>
          <w:p w:rsidR="001E1FCB" w:rsidRPr="00391029" w:rsidRDefault="006E2E49" w:rsidP="00063AED">
            <w:pPr>
              <w:tabs>
                <w:tab w:val="left" w:pos="284"/>
              </w:tabs>
              <w:spacing w:before="40" w:after="40" w:line="240" w:lineRule="auto"/>
              <w:jc w:val="center"/>
              <w:rPr>
                <w:sz w:val="22"/>
                <w:szCs w:val="22"/>
              </w:rPr>
            </w:pPr>
          </w:p>
        </w:tc>
        <w:tc>
          <w:tcPr>
            <w:tcW w:w="709" w:type="dxa"/>
          </w:tcPr>
          <w:p w:rsidR="001E1FCB" w:rsidRPr="00391029" w:rsidRDefault="006E2E49" w:rsidP="00063AED">
            <w:pPr>
              <w:tabs>
                <w:tab w:val="left" w:pos="284"/>
              </w:tabs>
              <w:spacing w:before="40" w:after="40" w:line="240" w:lineRule="auto"/>
              <w:jc w:val="center"/>
              <w:rPr>
                <w:sz w:val="22"/>
                <w:szCs w:val="22"/>
              </w:rPr>
            </w:pPr>
          </w:p>
        </w:tc>
      </w:tr>
      <w:tr w:rsidR="00DC2721" w:rsidTr="001E1FCB">
        <w:tc>
          <w:tcPr>
            <w:tcW w:w="3969" w:type="dxa"/>
          </w:tcPr>
          <w:p w:rsidR="001E1FCB" w:rsidRPr="00CD6FA9" w:rsidRDefault="005E1D76" w:rsidP="00063AED">
            <w:pPr>
              <w:tabs>
                <w:tab w:val="left" w:pos="284"/>
              </w:tabs>
              <w:spacing w:before="40" w:after="40" w:line="240" w:lineRule="auto"/>
              <w:rPr>
                <w:sz w:val="22"/>
                <w:szCs w:val="22"/>
              </w:rPr>
            </w:pPr>
            <w:r>
              <w:rPr>
                <w:sz w:val="22"/>
                <w:szCs w:val="22"/>
              </w:rPr>
              <w:t>Business effectiveness</w:t>
            </w:r>
            <w:r w:rsidRPr="00CD6FA9">
              <w:rPr>
                <w:sz w:val="22"/>
                <w:szCs w:val="22"/>
              </w:rPr>
              <w:t xml:space="preserve"> </w:t>
            </w:r>
          </w:p>
        </w:tc>
        <w:tc>
          <w:tcPr>
            <w:tcW w:w="851" w:type="dxa"/>
          </w:tcPr>
          <w:p w:rsidR="001E1FCB" w:rsidRPr="00391029" w:rsidRDefault="005E1D76" w:rsidP="00063AED">
            <w:pPr>
              <w:tabs>
                <w:tab w:val="left" w:pos="284"/>
              </w:tabs>
              <w:spacing w:before="40" w:after="40" w:line="240" w:lineRule="auto"/>
              <w:jc w:val="center"/>
              <w:rPr>
                <w:sz w:val="22"/>
                <w:szCs w:val="22"/>
              </w:rPr>
            </w:pPr>
            <w:r>
              <w:rPr>
                <w:sz w:val="22"/>
                <w:szCs w:val="22"/>
              </w:rPr>
              <w:t>4</w:t>
            </w:r>
          </w:p>
        </w:tc>
        <w:tc>
          <w:tcPr>
            <w:tcW w:w="850" w:type="dxa"/>
          </w:tcPr>
          <w:p w:rsidR="001E1FCB" w:rsidRPr="00391029" w:rsidRDefault="006E2E49" w:rsidP="00063AED">
            <w:pPr>
              <w:tabs>
                <w:tab w:val="left" w:pos="284"/>
              </w:tabs>
              <w:spacing w:before="40" w:after="40" w:line="240" w:lineRule="auto"/>
              <w:jc w:val="center"/>
              <w:rPr>
                <w:sz w:val="22"/>
                <w:szCs w:val="22"/>
              </w:rPr>
            </w:pPr>
          </w:p>
        </w:tc>
        <w:tc>
          <w:tcPr>
            <w:tcW w:w="1276" w:type="dxa"/>
          </w:tcPr>
          <w:p w:rsidR="001E1FCB" w:rsidRPr="00391029" w:rsidRDefault="005E1D76" w:rsidP="00063AED">
            <w:pPr>
              <w:tabs>
                <w:tab w:val="left" w:pos="284"/>
              </w:tabs>
              <w:spacing w:before="40" w:after="40" w:line="240" w:lineRule="auto"/>
              <w:jc w:val="center"/>
              <w:rPr>
                <w:sz w:val="22"/>
                <w:szCs w:val="22"/>
              </w:rPr>
            </w:pPr>
            <w:r>
              <w:rPr>
                <w:sz w:val="22"/>
                <w:szCs w:val="22"/>
              </w:rPr>
              <w:t>3</w:t>
            </w:r>
          </w:p>
        </w:tc>
        <w:tc>
          <w:tcPr>
            <w:tcW w:w="850" w:type="dxa"/>
          </w:tcPr>
          <w:p w:rsidR="001E1FCB" w:rsidRPr="00391029" w:rsidRDefault="005E1D76" w:rsidP="00063AED">
            <w:pPr>
              <w:tabs>
                <w:tab w:val="left" w:pos="284"/>
              </w:tabs>
              <w:spacing w:before="40" w:after="40" w:line="240" w:lineRule="auto"/>
              <w:jc w:val="center"/>
              <w:rPr>
                <w:sz w:val="22"/>
                <w:szCs w:val="22"/>
              </w:rPr>
            </w:pPr>
            <w:r>
              <w:rPr>
                <w:sz w:val="22"/>
                <w:szCs w:val="22"/>
              </w:rPr>
              <w:t>1</w:t>
            </w:r>
          </w:p>
        </w:tc>
        <w:tc>
          <w:tcPr>
            <w:tcW w:w="709" w:type="dxa"/>
          </w:tcPr>
          <w:p w:rsidR="001E1FCB" w:rsidRPr="00391029" w:rsidRDefault="006E2E49" w:rsidP="00063AED">
            <w:pPr>
              <w:tabs>
                <w:tab w:val="left" w:pos="284"/>
              </w:tabs>
              <w:spacing w:before="40" w:after="40" w:line="240" w:lineRule="auto"/>
              <w:jc w:val="center"/>
              <w:rPr>
                <w:sz w:val="22"/>
                <w:szCs w:val="22"/>
              </w:rPr>
            </w:pPr>
          </w:p>
        </w:tc>
      </w:tr>
      <w:tr w:rsidR="00DC2721" w:rsidTr="001E1FCB">
        <w:tc>
          <w:tcPr>
            <w:tcW w:w="3969" w:type="dxa"/>
            <w:tcBorders>
              <w:bottom w:val="single" w:sz="4" w:space="0" w:color="auto"/>
            </w:tcBorders>
          </w:tcPr>
          <w:p w:rsidR="001E1FCB" w:rsidRPr="00CD6FA9" w:rsidRDefault="005E1D76" w:rsidP="00063AED">
            <w:pPr>
              <w:tabs>
                <w:tab w:val="left" w:pos="284"/>
              </w:tabs>
              <w:spacing w:before="40" w:after="40" w:line="240" w:lineRule="auto"/>
              <w:rPr>
                <w:sz w:val="22"/>
                <w:szCs w:val="22"/>
              </w:rPr>
            </w:pPr>
            <w:r w:rsidRPr="00CD6FA9">
              <w:rPr>
                <w:sz w:val="22"/>
                <w:szCs w:val="22"/>
              </w:rPr>
              <w:t>Service</w:t>
            </w:r>
            <w:r>
              <w:rPr>
                <w:sz w:val="22"/>
                <w:szCs w:val="22"/>
              </w:rPr>
              <w:t xml:space="preserve"> delivery</w:t>
            </w:r>
          </w:p>
        </w:tc>
        <w:tc>
          <w:tcPr>
            <w:tcW w:w="851" w:type="dxa"/>
            <w:tcBorders>
              <w:bottom w:val="single" w:sz="4" w:space="0" w:color="auto"/>
            </w:tcBorders>
          </w:tcPr>
          <w:p w:rsidR="001E1FCB" w:rsidRPr="00391029" w:rsidRDefault="005E1D76" w:rsidP="00063AED">
            <w:pPr>
              <w:tabs>
                <w:tab w:val="left" w:pos="284"/>
              </w:tabs>
              <w:spacing w:before="40" w:after="40" w:line="240" w:lineRule="auto"/>
              <w:jc w:val="center"/>
              <w:rPr>
                <w:sz w:val="22"/>
                <w:szCs w:val="22"/>
              </w:rPr>
            </w:pPr>
            <w:r>
              <w:rPr>
                <w:sz w:val="22"/>
                <w:szCs w:val="22"/>
              </w:rPr>
              <w:t>16</w:t>
            </w:r>
          </w:p>
        </w:tc>
        <w:tc>
          <w:tcPr>
            <w:tcW w:w="850" w:type="dxa"/>
            <w:tcBorders>
              <w:bottom w:val="single" w:sz="4" w:space="0" w:color="auto"/>
            </w:tcBorders>
          </w:tcPr>
          <w:p w:rsidR="001E1FCB" w:rsidRPr="00391029" w:rsidRDefault="005E1D76" w:rsidP="00063AED">
            <w:pPr>
              <w:tabs>
                <w:tab w:val="left" w:pos="284"/>
              </w:tabs>
              <w:spacing w:before="40" w:after="40" w:line="240" w:lineRule="auto"/>
              <w:jc w:val="center"/>
              <w:rPr>
                <w:sz w:val="22"/>
                <w:szCs w:val="22"/>
              </w:rPr>
            </w:pPr>
            <w:r>
              <w:rPr>
                <w:sz w:val="22"/>
                <w:szCs w:val="22"/>
              </w:rPr>
              <w:t>1</w:t>
            </w:r>
          </w:p>
        </w:tc>
        <w:tc>
          <w:tcPr>
            <w:tcW w:w="1276" w:type="dxa"/>
            <w:tcBorders>
              <w:bottom w:val="single" w:sz="4" w:space="0" w:color="auto"/>
            </w:tcBorders>
          </w:tcPr>
          <w:p w:rsidR="001E1FCB" w:rsidRPr="00391029" w:rsidRDefault="005E1D76" w:rsidP="00063AED">
            <w:pPr>
              <w:tabs>
                <w:tab w:val="left" w:pos="284"/>
              </w:tabs>
              <w:spacing w:before="40" w:after="40" w:line="240" w:lineRule="auto"/>
              <w:jc w:val="center"/>
              <w:rPr>
                <w:sz w:val="22"/>
                <w:szCs w:val="22"/>
              </w:rPr>
            </w:pPr>
            <w:r>
              <w:rPr>
                <w:sz w:val="22"/>
                <w:szCs w:val="22"/>
              </w:rPr>
              <w:t>14</w:t>
            </w:r>
          </w:p>
        </w:tc>
        <w:tc>
          <w:tcPr>
            <w:tcW w:w="850" w:type="dxa"/>
            <w:tcBorders>
              <w:bottom w:val="single" w:sz="4" w:space="0" w:color="auto"/>
            </w:tcBorders>
          </w:tcPr>
          <w:p w:rsidR="001E1FCB" w:rsidRPr="00391029" w:rsidRDefault="005E1D76" w:rsidP="00063AED">
            <w:pPr>
              <w:tabs>
                <w:tab w:val="left" w:pos="284"/>
              </w:tabs>
              <w:spacing w:before="40" w:after="40" w:line="240" w:lineRule="auto"/>
              <w:jc w:val="center"/>
              <w:rPr>
                <w:sz w:val="22"/>
                <w:szCs w:val="22"/>
              </w:rPr>
            </w:pPr>
            <w:r>
              <w:rPr>
                <w:sz w:val="22"/>
                <w:szCs w:val="22"/>
              </w:rPr>
              <w:t>1</w:t>
            </w:r>
          </w:p>
        </w:tc>
        <w:tc>
          <w:tcPr>
            <w:tcW w:w="709" w:type="dxa"/>
            <w:tcBorders>
              <w:bottom w:val="single" w:sz="4" w:space="0" w:color="auto"/>
            </w:tcBorders>
          </w:tcPr>
          <w:p w:rsidR="001E1FCB" w:rsidRPr="00391029" w:rsidRDefault="006E2E49" w:rsidP="00063AED">
            <w:pPr>
              <w:tabs>
                <w:tab w:val="left" w:pos="284"/>
              </w:tabs>
              <w:spacing w:before="40" w:after="40" w:line="240" w:lineRule="auto"/>
              <w:jc w:val="center"/>
              <w:rPr>
                <w:sz w:val="22"/>
                <w:szCs w:val="22"/>
              </w:rPr>
            </w:pPr>
          </w:p>
        </w:tc>
      </w:tr>
      <w:tr w:rsidR="00DC2721" w:rsidTr="001E1FCB">
        <w:tc>
          <w:tcPr>
            <w:tcW w:w="3969" w:type="dxa"/>
            <w:tcBorders>
              <w:bottom w:val="single" w:sz="4" w:space="0" w:color="auto"/>
            </w:tcBorders>
          </w:tcPr>
          <w:p w:rsidR="001E1FCB" w:rsidRPr="00CD6FA9" w:rsidRDefault="005E1D76" w:rsidP="00063AED">
            <w:pPr>
              <w:tabs>
                <w:tab w:val="left" w:pos="284"/>
              </w:tabs>
              <w:spacing w:before="40" w:after="40" w:line="240" w:lineRule="auto"/>
              <w:rPr>
                <w:sz w:val="22"/>
                <w:szCs w:val="22"/>
              </w:rPr>
            </w:pPr>
            <w:r>
              <w:rPr>
                <w:sz w:val="22"/>
                <w:szCs w:val="22"/>
              </w:rPr>
              <w:t>Service support</w:t>
            </w:r>
          </w:p>
        </w:tc>
        <w:tc>
          <w:tcPr>
            <w:tcW w:w="851" w:type="dxa"/>
            <w:tcBorders>
              <w:bottom w:val="single" w:sz="4" w:space="0" w:color="auto"/>
            </w:tcBorders>
          </w:tcPr>
          <w:p w:rsidR="001E1FCB" w:rsidRPr="00391029" w:rsidRDefault="005E1D76" w:rsidP="00063AED">
            <w:pPr>
              <w:tabs>
                <w:tab w:val="left" w:pos="284"/>
              </w:tabs>
              <w:spacing w:before="40" w:after="40" w:line="240" w:lineRule="auto"/>
              <w:jc w:val="center"/>
              <w:rPr>
                <w:sz w:val="22"/>
                <w:szCs w:val="22"/>
              </w:rPr>
            </w:pPr>
            <w:r>
              <w:rPr>
                <w:sz w:val="22"/>
                <w:szCs w:val="22"/>
              </w:rPr>
              <w:t>1</w:t>
            </w:r>
          </w:p>
        </w:tc>
        <w:tc>
          <w:tcPr>
            <w:tcW w:w="850" w:type="dxa"/>
            <w:tcBorders>
              <w:bottom w:val="single" w:sz="4" w:space="0" w:color="auto"/>
            </w:tcBorders>
          </w:tcPr>
          <w:p w:rsidR="001E1FCB" w:rsidRPr="00391029" w:rsidRDefault="006E2E49" w:rsidP="00063AED">
            <w:pPr>
              <w:tabs>
                <w:tab w:val="left" w:pos="284"/>
              </w:tabs>
              <w:spacing w:before="40" w:after="40" w:line="240" w:lineRule="auto"/>
              <w:jc w:val="center"/>
              <w:rPr>
                <w:sz w:val="22"/>
                <w:szCs w:val="22"/>
              </w:rPr>
            </w:pPr>
          </w:p>
        </w:tc>
        <w:tc>
          <w:tcPr>
            <w:tcW w:w="1276" w:type="dxa"/>
            <w:tcBorders>
              <w:bottom w:val="single" w:sz="4" w:space="0" w:color="auto"/>
            </w:tcBorders>
          </w:tcPr>
          <w:p w:rsidR="001E1FCB" w:rsidRPr="00391029" w:rsidRDefault="005E1D76" w:rsidP="00063AED">
            <w:pPr>
              <w:tabs>
                <w:tab w:val="left" w:pos="284"/>
              </w:tabs>
              <w:spacing w:before="40" w:after="40" w:line="240" w:lineRule="auto"/>
              <w:jc w:val="center"/>
              <w:rPr>
                <w:sz w:val="22"/>
                <w:szCs w:val="22"/>
              </w:rPr>
            </w:pPr>
            <w:r>
              <w:rPr>
                <w:sz w:val="22"/>
                <w:szCs w:val="22"/>
              </w:rPr>
              <w:t>1</w:t>
            </w:r>
          </w:p>
        </w:tc>
        <w:tc>
          <w:tcPr>
            <w:tcW w:w="850" w:type="dxa"/>
            <w:tcBorders>
              <w:bottom w:val="single" w:sz="4" w:space="0" w:color="auto"/>
            </w:tcBorders>
          </w:tcPr>
          <w:p w:rsidR="001E1FCB" w:rsidRPr="00391029" w:rsidRDefault="006E2E49" w:rsidP="00063AED">
            <w:pPr>
              <w:tabs>
                <w:tab w:val="left" w:pos="284"/>
              </w:tabs>
              <w:spacing w:before="40" w:after="40" w:line="240" w:lineRule="auto"/>
              <w:jc w:val="center"/>
              <w:rPr>
                <w:sz w:val="22"/>
                <w:szCs w:val="22"/>
              </w:rPr>
            </w:pPr>
          </w:p>
        </w:tc>
        <w:tc>
          <w:tcPr>
            <w:tcW w:w="709" w:type="dxa"/>
            <w:tcBorders>
              <w:bottom w:val="single" w:sz="4" w:space="0" w:color="auto"/>
            </w:tcBorders>
          </w:tcPr>
          <w:p w:rsidR="001E1FCB" w:rsidRPr="00391029" w:rsidRDefault="006E2E49" w:rsidP="00063AED">
            <w:pPr>
              <w:tabs>
                <w:tab w:val="left" w:pos="284"/>
              </w:tabs>
              <w:spacing w:before="40" w:after="40" w:line="240" w:lineRule="auto"/>
              <w:jc w:val="center"/>
              <w:rPr>
                <w:sz w:val="22"/>
                <w:szCs w:val="22"/>
              </w:rPr>
            </w:pPr>
          </w:p>
        </w:tc>
      </w:tr>
      <w:tr w:rsidR="00DC2721" w:rsidTr="001E1FCB">
        <w:tc>
          <w:tcPr>
            <w:tcW w:w="3969" w:type="dxa"/>
            <w:tcBorders>
              <w:bottom w:val="single" w:sz="4" w:space="0" w:color="auto"/>
            </w:tcBorders>
          </w:tcPr>
          <w:p w:rsidR="001E1FCB" w:rsidRDefault="005E1D76" w:rsidP="00063AED">
            <w:pPr>
              <w:tabs>
                <w:tab w:val="left" w:pos="284"/>
              </w:tabs>
              <w:spacing w:before="40" w:after="40" w:line="240" w:lineRule="auto"/>
              <w:rPr>
                <w:sz w:val="22"/>
                <w:szCs w:val="22"/>
              </w:rPr>
            </w:pPr>
            <w:r>
              <w:rPr>
                <w:sz w:val="22"/>
                <w:szCs w:val="22"/>
              </w:rPr>
              <w:t>Business processes</w:t>
            </w:r>
          </w:p>
        </w:tc>
        <w:tc>
          <w:tcPr>
            <w:tcW w:w="851" w:type="dxa"/>
            <w:tcBorders>
              <w:bottom w:val="single" w:sz="4" w:space="0" w:color="auto"/>
            </w:tcBorders>
          </w:tcPr>
          <w:p w:rsidR="001E1FCB" w:rsidRPr="00391029" w:rsidRDefault="005E1D76" w:rsidP="00063AED">
            <w:pPr>
              <w:tabs>
                <w:tab w:val="left" w:pos="284"/>
              </w:tabs>
              <w:spacing w:before="40" w:after="40" w:line="240" w:lineRule="auto"/>
              <w:jc w:val="center"/>
              <w:rPr>
                <w:sz w:val="22"/>
                <w:szCs w:val="22"/>
              </w:rPr>
            </w:pPr>
            <w:r>
              <w:rPr>
                <w:sz w:val="22"/>
                <w:szCs w:val="22"/>
              </w:rPr>
              <w:t>9</w:t>
            </w:r>
          </w:p>
        </w:tc>
        <w:tc>
          <w:tcPr>
            <w:tcW w:w="850" w:type="dxa"/>
            <w:tcBorders>
              <w:bottom w:val="single" w:sz="4" w:space="0" w:color="auto"/>
            </w:tcBorders>
          </w:tcPr>
          <w:p w:rsidR="001E1FCB" w:rsidRPr="00391029" w:rsidRDefault="005E1D76" w:rsidP="00063AED">
            <w:pPr>
              <w:tabs>
                <w:tab w:val="left" w:pos="284"/>
              </w:tabs>
              <w:spacing w:before="40" w:after="40" w:line="240" w:lineRule="auto"/>
              <w:jc w:val="center"/>
              <w:rPr>
                <w:sz w:val="22"/>
                <w:szCs w:val="22"/>
              </w:rPr>
            </w:pPr>
            <w:r>
              <w:rPr>
                <w:sz w:val="22"/>
                <w:szCs w:val="22"/>
              </w:rPr>
              <w:t>2</w:t>
            </w:r>
          </w:p>
        </w:tc>
        <w:tc>
          <w:tcPr>
            <w:tcW w:w="1276" w:type="dxa"/>
            <w:tcBorders>
              <w:bottom w:val="single" w:sz="4" w:space="0" w:color="auto"/>
            </w:tcBorders>
          </w:tcPr>
          <w:p w:rsidR="001E1FCB" w:rsidRPr="00391029" w:rsidRDefault="005E1D76" w:rsidP="00063AED">
            <w:pPr>
              <w:tabs>
                <w:tab w:val="left" w:pos="284"/>
              </w:tabs>
              <w:spacing w:before="40" w:after="40" w:line="240" w:lineRule="auto"/>
              <w:jc w:val="center"/>
              <w:rPr>
                <w:sz w:val="22"/>
                <w:szCs w:val="22"/>
              </w:rPr>
            </w:pPr>
            <w:r>
              <w:rPr>
                <w:sz w:val="22"/>
                <w:szCs w:val="22"/>
              </w:rPr>
              <w:t>5</w:t>
            </w:r>
          </w:p>
        </w:tc>
        <w:tc>
          <w:tcPr>
            <w:tcW w:w="850" w:type="dxa"/>
            <w:tcBorders>
              <w:bottom w:val="single" w:sz="4" w:space="0" w:color="auto"/>
            </w:tcBorders>
          </w:tcPr>
          <w:p w:rsidR="001E1FCB" w:rsidRPr="00391029" w:rsidRDefault="005E1D76" w:rsidP="00063AED">
            <w:pPr>
              <w:tabs>
                <w:tab w:val="left" w:pos="284"/>
              </w:tabs>
              <w:spacing w:before="40" w:after="40" w:line="240" w:lineRule="auto"/>
              <w:jc w:val="center"/>
              <w:rPr>
                <w:sz w:val="22"/>
                <w:szCs w:val="22"/>
              </w:rPr>
            </w:pPr>
            <w:r>
              <w:rPr>
                <w:sz w:val="22"/>
                <w:szCs w:val="22"/>
              </w:rPr>
              <w:t>2</w:t>
            </w:r>
          </w:p>
        </w:tc>
        <w:tc>
          <w:tcPr>
            <w:tcW w:w="709" w:type="dxa"/>
            <w:tcBorders>
              <w:bottom w:val="single" w:sz="4" w:space="0" w:color="auto"/>
            </w:tcBorders>
          </w:tcPr>
          <w:p w:rsidR="001E1FCB" w:rsidRPr="00391029" w:rsidRDefault="006E2E49" w:rsidP="00063AED">
            <w:pPr>
              <w:tabs>
                <w:tab w:val="left" w:pos="284"/>
              </w:tabs>
              <w:spacing w:before="40" w:after="40" w:line="240" w:lineRule="auto"/>
              <w:jc w:val="center"/>
              <w:rPr>
                <w:sz w:val="22"/>
                <w:szCs w:val="22"/>
              </w:rPr>
            </w:pPr>
          </w:p>
        </w:tc>
      </w:tr>
      <w:tr w:rsidR="00DC2721" w:rsidTr="00E42360">
        <w:tc>
          <w:tcPr>
            <w:tcW w:w="3969" w:type="dxa"/>
          </w:tcPr>
          <w:p w:rsidR="001E1FCB" w:rsidRPr="00CD6FA9" w:rsidRDefault="005E1D76" w:rsidP="00063AED">
            <w:pPr>
              <w:tabs>
                <w:tab w:val="left" w:pos="284"/>
              </w:tabs>
              <w:spacing w:before="40" w:after="40" w:line="240" w:lineRule="auto"/>
              <w:rPr>
                <w:b/>
                <w:sz w:val="22"/>
                <w:szCs w:val="22"/>
              </w:rPr>
            </w:pPr>
            <w:r w:rsidRPr="00CD6FA9">
              <w:rPr>
                <w:b/>
                <w:sz w:val="22"/>
                <w:szCs w:val="22"/>
              </w:rPr>
              <w:t xml:space="preserve">Total </w:t>
            </w:r>
          </w:p>
        </w:tc>
        <w:tc>
          <w:tcPr>
            <w:tcW w:w="851" w:type="dxa"/>
          </w:tcPr>
          <w:p w:rsidR="001E1FCB" w:rsidRPr="00B9629F" w:rsidRDefault="005E1D76" w:rsidP="00063AED">
            <w:pPr>
              <w:tabs>
                <w:tab w:val="left" w:pos="284"/>
              </w:tabs>
              <w:spacing w:before="40" w:after="40" w:line="240" w:lineRule="auto"/>
              <w:jc w:val="center"/>
              <w:rPr>
                <w:b/>
                <w:sz w:val="22"/>
                <w:szCs w:val="22"/>
              </w:rPr>
            </w:pPr>
            <w:r>
              <w:rPr>
                <w:b/>
                <w:sz w:val="22"/>
                <w:szCs w:val="22"/>
              </w:rPr>
              <w:t>31</w:t>
            </w:r>
          </w:p>
        </w:tc>
        <w:tc>
          <w:tcPr>
            <w:tcW w:w="850" w:type="dxa"/>
          </w:tcPr>
          <w:p w:rsidR="001E1FCB" w:rsidRPr="00B9629F" w:rsidRDefault="005E1D76" w:rsidP="00063AED">
            <w:pPr>
              <w:tabs>
                <w:tab w:val="left" w:pos="284"/>
              </w:tabs>
              <w:spacing w:before="40" w:after="40" w:line="240" w:lineRule="auto"/>
              <w:jc w:val="center"/>
              <w:rPr>
                <w:b/>
                <w:sz w:val="22"/>
                <w:szCs w:val="22"/>
              </w:rPr>
            </w:pPr>
            <w:r>
              <w:rPr>
                <w:b/>
                <w:sz w:val="22"/>
                <w:szCs w:val="22"/>
              </w:rPr>
              <w:t>3</w:t>
            </w:r>
          </w:p>
        </w:tc>
        <w:tc>
          <w:tcPr>
            <w:tcW w:w="1276" w:type="dxa"/>
          </w:tcPr>
          <w:p w:rsidR="001E1FCB" w:rsidRPr="00B9629F" w:rsidRDefault="005E1D76" w:rsidP="00063AED">
            <w:pPr>
              <w:tabs>
                <w:tab w:val="left" w:pos="284"/>
              </w:tabs>
              <w:spacing w:before="40" w:after="40" w:line="240" w:lineRule="auto"/>
              <w:jc w:val="center"/>
              <w:rPr>
                <w:b/>
                <w:sz w:val="22"/>
                <w:szCs w:val="22"/>
              </w:rPr>
            </w:pPr>
            <w:r>
              <w:rPr>
                <w:b/>
                <w:sz w:val="22"/>
                <w:szCs w:val="22"/>
              </w:rPr>
              <w:t>24</w:t>
            </w:r>
          </w:p>
        </w:tc>
        <w:tc>
          <w:tcPr>
            <w:tcW w:w="850" w:type="dxa"/>
          </w:tcPr>
          <w:p w:rsidR="001E1FCB" w:rsidRPr="00B9629F" w:rsidRDefault="005E1D76" w:rsidP="00063AED">
            <w:pPr>
              <w:tabs>
                <w:tab w:val="left" w:pos="284"/>
              </w:tabs>
              <w:spacing w:before="40" w:after="40" w:line="240" w:lineRule="auto"/>
              <w:jc w:val="center"/>
              <w:rPr>
                <w:b/>
                <w:sz w:val="22"/>
                <w:szCs w:val="22"/>
              </w:rPr>
            </w:pPr>
            <w:r>
              <w:rPr>
                <w:b/>
                <w:sz w:val="22"/>
                <w:szCs w:val="22"/>
              </w:rPr>
              <w:t>4</w:t>
            </w:r>
          </w:p>
        </w:tc>
        <w:tc>
          <w:tcPr>
            <w:tcW w:w="709" w:type="dxa"/>
          </w:tcPr>
          <w:p w:rsidR="001E1FCB" w:rsidRPr="00B9629F" w:rsidRDefault="005E1D76" w:rsidP="00063AED">
            <w:pPr>
              <w:tabs>
                <w:tab w:val="left" w:pos="284"/>
              </w:tabs>
              <w:spacing w:before="40" w:after="40" w:line="240" w:lineRule="auto"/>
              <w:jc w:val="center"/>
              <w:rPr>
                <w:b/>
                <w:sz w:val="22"/>
                <w:szCs w:val="22"/>
              </w:rPr>
            </w:pPr>
            <w:r>
              <w:rPr>
                <w:b/>
                <w:sz w:val="22"/>
                <w:szCs w:val="22"/>
              </w:rPr>
              <w:t>0</w:t>
            </w:r>
          </w:p>
        </w:tc>
      </w:tr>
      <w:tr w:rsidR="00DC2721" w:rsidTr="001E1FCB">
        <w:tc>
          <w:tcPr>
            <w:tcW w:w="3969" w:type="dxa"/>
            <w:tcBorders>
              <w:bottom w:val="single" w:sz="4" w:space="0" w:color="auto"/>
            </w:tcBorders>
          </w:tcPr>
          <w:p w:rsidR="00E42360" w:rsidRPr="00E42360" w:rsidRDefault="006E2E49" w:rsidP="00063AED">
            <w:pPr>
              <w:tabs>
                <w:tab w:val="left" w:pos="284"/>
              </w:tabs>
              <w:spacing w:before="40" w:after="40"/>
              <w:rPr>
                <w:sz w:val="22"/>
                <w:szCs w:val="22"/>
              </w:rPr>
            </w:pPr>
          </w:p>
        </w:tc>
        <w:tc>
          <w:tcPr>
            <w:tcW w:w="851" w:type="dxa"/>
            <w:tcBorders>
              <w:bottom w:val="single" w:sz="4" w:space="0" w:color="auto"/>
            </w:tcBorders>
          </w:tcPr>
          <w:p w:rsidR="00E42360" w:rsidRPr="00E42360" w:rsidRDefault="005E1D76" w:rsidP="00063AED">
            <w:pPr>
              <w:tabs>
                <w:tab w:val="left" w:pos="284"/>
              </w:tabs>
              <w:spacing w:before="40" w:after="40"/>
              <w:jc w:val="center"/>
              <w:rPr>
                <w:sz w:val="22"/>
                <w:szCs w:val="22"/>
              </w:rPr>
            </w:pPr>
            <w:r>
              <w:rPr>
                <w:sz w:val="22"/>
                <w:szCs w:val="22"/>
              </w:rPr>
              <w:t>100%</w:t>
            </w:r>
          </w:p>
        </w:tc>
        <w:tc>
          <w:tcPr>
            <w:tcW w:w="850" w:type="dxa"/>
            <w:tcBorders>
              <w:bottom w:val="single" w:sz="4" w:space="0" w:color="auto"/>
            </w:tcBorders>
          </w:tcPr>
          <w:p w:rsidR="00E42360" w:rsidRPr="00E42360" w:rsidRDefault="005E1D76" w:rsidP="00063AED">
            <w:pPr>
              <w:tabs>
                <w:tab w:val="left" w:pos="284"/>
              </w:tabs>
              <w:spacing w:before="40" w:after="40"/>
              <w:jc w:val="center"/>
              <w:rPr>
                <w:sz w:val="22"/>
                <w:szCs w:val="22"/>
              </w:rPr>
            </w:pPr>
            <w:r>
              <w:rPr>
                <w:sz w:val="22"/>
                <w:szCs w:val="22"/>
              </w:rPr>
              <w:t>10%</w:t>
            </w:r>
          </w:p>
        </w:tc>
        <w:tc>
          <w:tcPr>
            <w:tcW w:w="1276" w:type="dxa"/>
            <w:tcBorders>
              <w:bottom w:val="single" w:sz="4" w:space="0" w:color="auto"/>
            </w:tcBorders>
          </w:tcPr>
          <w:p w:rsidR="00E42360" w:rsidRPr="00E42360" w:rsidRDefault="005E1D76" w:rsidP="00063AED">
            <w:pPr>
              <w:tabs>
                <w:tab w:val="left" w:pos="284"/>
              </w:tabs>
              <w:spacing w:before="40" w:after="40"/>
              <w:jc w:val="center"/>
              <w:rPr>
                <w:sz w:val="22"/>
                <w:szCs w:val="22"/>
              </w:rPr>
            </w:pPr>
            <w:r>
              <w:rPr>
                <w:sz w:val="22"/>
                <w:szCs w:val="22"/>
              </w:rPr>
              <w:t>77%</w:t>
            </w:r>
          </w:p>
        </w:tc>
        <w:tc>
          <w:tcPr>
            <w:tcW w:w="850" w:type="dxa"/>
            <w:tcBorders>
              <w:bottom w:val="single" w:sz="4" w:space="0" w:color="auto"/>
            </w:tcBorders>
          </w:tcPr>
          <w:p w:rsidR="00E42360" w:rsidRPr="00E42360" w:rsidRDefault="005E1D76" w:rsidP="00063AED">
            <w:pPr>
              <w:tabs>
                <w:tab w:val="left" w:pos="284"/>
              </w:tabs>
              <w:spacing w:before="40" w:after="40"/>
              <w:jc w:val="center"/>
              <w:rPr>
                <w:sz w:val="22"/>
                <w:szCs w:val="22"/>
              </w:rPr>
            </w:pPr>
            <w:r>
              <w:rPr>
                <w:sz w:val="22"/>
                <w:szCs w:val="22"/>
              </w:rPr>
              <w:t>13%</w:t>
            </w:r>
          </w:p>
        </w:tc>
        <w:tc>
          <w:tcPr>
            <w:tcW w:w="709" w:type="dxa"/>
            <w:tcBorders>
              <w:bottom w:val="single" w:sz="4" w:space="0" w:color="auto"/>
            </w:tcBorders>
          </w:tcPr>
          <w:p w:rsidR="00E42360" w:rsidRPr="00E42360" w:rsidRDefault="005E1D76" w:rsidP="00063AED">
            <w:pPr>
              <w:tabs>
                <w:tab w:val="left" w:pos="284"/>
              </w:tabs>
              <w:spacing w:before="40" w:after="40"/>
              <w:jc w:val="center"/>
              <w:rPr>
                <w:sz w:val="22"/>
                <w:szCs w:val="22"/>
              </w:rPr>
            </w:pPr>
            <w:r>
              <w:rPr>
                <w:sz w:val="22"/>
                <w:szCs w:val="22"/>
              </w:rPr>
              <w:t>-</w:t>
            </w:r>
          </w:p>
        </w:tc>
      </w:tr>
    </w:tbl>
    <w:p w:rsidR="001E1FCB" w:rsidRPr="00997DE7" w:rsidRDefault="005E1D76" w:rsidP="001E1FCB">
      <w:pPr>
        <w:pStyle w:val="Heading3"/>
        <w:tabs>
          <w:tab w:val="left" w:pos="284"/>
        </w:tabs>
        <w:spacing w:after="120"/>
        <w:rPr>
          <w:rFonts w:ascii="Arial" w:hAnsi="Arial" w:cs="Arial"/>
        </w:rPr>
      </w:pPr>
      <w:r w:rsidRPr="00997DE7">
        <w:rPr>
          <w:rFonts w:ascii="Arial" w:hAnsi="Arial" w:cs="Arial"/>
        </w:rPr>
        <w:t>Wider sources of assurance available to the county council</w:t>
      </w:r>
    </w:p>
    <w:p w:rsidR="001C16AC" w:rsidRDefault="005E1D76" w:rsidP="001E1FCB">
      <w:pPr>
        <w:numPr>
          <w:ilvl w:val="1"/>
          <w:numId w:val="1"/>
        </w:numPr>
        <w:spacing w:before="120" w:after="120"/>
      </w:pPr>
      <w:r>
        <w:t>Assurance has been taken from the work undertaken by Deloitte LLP over the operation of the Local Pensions Partnership. The firm has completed eight audits of various aspects of the partnership's activities, in accordance with the plan for the year drafted in February 2017. Two further audits for 2017/18 are still ongoing and the assurance provided by them will be reported when available, along with further work for 2018/19.</w:t>
      </w:r>
    </w:p>
    <w:p w:rsidR="00B72FF3" w:rsidRDefault="005E1D76" w:rsidP="00C22F6C">
      <w:pPr>
        <w:numPr>
          <w:ilvl w:val="1"/>
          <w:numId w:val="1"/>
        </w:numPr>
        <w:spacing w:before="120" w:after="120"/>
      </w:pPr>
      <w:r>
        <w:t xml:space="preserve">The reports provided by Ofsted during the year form important sources of external assurance and may be found on Ofsted's web-site here: </w:t>
      </w:r>
      <w:hyperlink r:id="rId9" w:history="1">
        <w:r w:rsidRPr="0035483D">
          <w:rPr>
            <w:rStyle w:val="Hyperlink"/>
          </w:rPr>
          <w:t>https://reports.ofsted.gov.uk/local-authorities/lancashire</w:t>
        </w:r>
      </w:hyperlink>
    </w:p>
    <w:p w:rsidR="001E1FCB" w:rsidRDefault="005E1D76" w:rsidP="001E1FCB">
      <w:pPr>
        <w:pStyle w:val="Heading3"/>
        <w:tabs>
          <w:tab w:val="left" w:pos="284"/>
        </w:tabs>
        <w:spacing w:after="120"/>
        <w:rPr>
          <w:rFonts w:cs="Arial"/>
        </w:rPr>
      </w:pPr>
      <w:r w:rsidRPr="008E4131">
        <w:rPr>
          <w:rFonts w:ascii="Arial" w:hAnsi="Arial" w:cs="Arial"/>
        </w:rPr>
        <w:t>Management's response</w:t>
      </w:r>
      <w:r>
        <w:rPr>
          <w:rFonts w:ascii="Arial" w:hAnsi="Arial" w:cs="Arial"/>
        </w:rPr>
        <w:t>s</w:t>
      </w:r>
      <w:r w:rsidRPr="008E4131">
        <w:rPr>
          <w:rFonts w:ascii="Arial" w:hAnsi="Arial" w:cs="Arial"/>
        </w:rPr>
        <w:t xml:space="preserve"> to our findings</w:t>
      </w:r>
    </w:p>
    <w:p w:rsidR="00366E2A" w:rsidRDefault="005E1D76" w:rsidP="00CC14A5">
      <w:pPr>
        <w:numPr>
          <w:ilvl w:val="1"/>
          <w:numId w:val="1"/>
        </w:numPr>
        <w:spacing w:before="120" w:after="120"/>
      </w:pPr>
      <w:r w:rsidRPr="00CC14A5">
        <w:t>Each of the issues I have raised during the year has been discussed with the relevant service managers as well as with members of the council's Management Team. Action plans have been agreed and our work during 2017/18 indicates that the plans agreed in 2016/17 are largely being addressed, although some work is still ongoing.</w:t>
      </w:r>
    </w:p>
    <w:p w:rsidR="00691761" w:rsidRPr="00CC14A5" w:rsidRDefault="005E1D76" w:rsidP="00CC14A5">
      <w:pPr>
        <w:numPr>
          <w:ilvl w:val="1"/>
          <w:numId w:val="1"/>
        </w:numPr>
        <w:spacing w:before="120" w:after="120"/>
      </w:pPr>
      <w:r>
        <w:t>For 2018/19 we are discussing a more collaborative approach with management to enable us collectively to take more assurance in future that action is being taken as agreed, and improvements are being achieved as intended.</w:t>
      </w:r>
    </w:p>
    <w:p w:rsidR="001E1FCB" w:rsidRPr="00F92FDE" w:rsidRDefault="005E1D76" w:rsidP="001E1FCB">
      <w:pPr>
        <w:pStyle w:val="Heading1"/>
        <w:numPr>
          <w:ilvl w:val="0"/>
          <w:numId w:val="1"/>
        </w:numPr>
        <w:spacing w:after="120"/>
        <w:rPr>
          <w:rFonts w:ascii="Arial" w:hAnsi="Arial" w:cs="Arial"/>
        </w:rPr>
      </w:pPr>
      <w:r>
        <w:rPr>
          <w:rFonts w:ascii="Arial" w:hAnsi="Arial" w:cs="Arial"/>
        </w:rPr>
        <w:t>Key issues and themes</w:t>
      </w:r>
    </w:p>
    <w:p w:rsidR="00230AF2" w:rsidRDefault="005E1D76" w:rsidP="001E1FCB">
      <w:pPr>
        <w:pStyle w:val="ListParagraph"/>
        <w:numPr>
          <w:ilvl w:val="1"/>
          <w:numId w:val="1"/>
        </w:numPr>
        <w:spacing w:before="120" w:after="120"/>
        <w:contextualSpacing w:val="0"/>
        <w:rPr>
          <w:rFonts w:cs="Arial"/>
        </w:rPr>
      </w:pPr>
      <w:r>
        <w:rPr>
          <w:rFonts w:cs="Arial"/>
        </w:rPr>
        <w:t xml:space="preserve">The committee's attention has previously been drawn to the existence of a number of areas of the council's operations where managers could not themselves provide assurance over the adequacy and effectiveness of controls, and that are subject to considerable improvement work. Although a lot of work has been done in recent years to improve systems and controls in these areas, managers acknowledge that improvement plans will take more time to implement before they are satisfied that the controls they operate are adequate and effective to mitigate the risks to the council's objectives. </w:t>
      </w:r>
    </w:p>
    <w:p w:rsidR="00230AF2" w:rsidRPr="00230AF2" w:rsidRDefault="005E1D76" w:rsidP="00230AF2">
      <w:pPr>
        <w:pStyle w:val="ListParagraph"/>
        <w:numPr>
          <w:ilvl w:val="1"/>
          <w:numId w:val="1"/>
        </w:numPr>
        <w:spacing w:before="120" w:after="120"/>
        <w:contextualSpacing w:val="0"/>
        <w:rPr>
          <w:rFonts w:cs="Arial"/>
        </w:rPr>
      </w:pPr>
      <w:r w:rsidRPr="00230AF2">
        <w:rPr>
          <w:rFonts w:cs="Arial"/>
        </w:rPr>
        <w:t xml:space="preserve">Significant areas of the council </w:t>
      </w:r>
      <w:r>
        <w:rPr>
          <w:rFonts w:cs="Arial"/>
        </w:rPr>
        <w:t xml:space="preserve">in which work continues </w:t>
      </w:r>
      <w:r w:rsidRPr="00230AF2">
        <w:rPr>
          <w:rFonts w:cs="Arial"/>
        </w:rPr>
        <w:t xml:space="preserve">to </w:t>
      </w:r>
      <w:r>
        <w:rPr>
          <w:rFonts w:cs="Arial"/>
        </w:rPr>
        <w:t xml:space="preserve">drive </w:t>
      </w:r>
      <w:r w:rsidRPr="00230AF2">
        <w:rPr>
          <w:rFonts w:cs="Arial"/>
        </w:rPr>
        <w:t>further improvement include:</w:t>
      </w:r>
    </w:p>
    <w:p w:rsidR="00230AF2" w:rsidRDefault="005E1D76" w:rsidP="00230AF2">
      <w:pPr>
        <w:pStyle w:val="Ruthsbullets"/>
      </w:pPr>
      <w:r>
        <w:t>actions to stabilise and secure the council's financial position, including further cost-cutting measures and service reductions</w:t>
      </w:r>
    </w:p>
    <w:p w:rsidR="00230AF2" w:rsidRDefault="005E1D76" w:rsidP="00230AF2">
      <w:pPr>
        <w:pStyle w:val="Ruthsbullets"/>
      </w:pPr>
      <w:r>
        <w:t>children's social care and services for children with special educational needs and disabilities, as action is taken in response to work with Ofsted</w:t>
      </w:r>
    </w:p>
    <w:p w:rsidR="00230AF2" w:rsidRDefault="005E1D76" w:rsidP="00230AF2">
      <w:pPr>
        <w:pStyle w:val="Ruthsbullets"/>
      </w:pPr>
      <w:r>
        <w:t>adults' social care, as the service continues to work with Newton Europe and the Local Government Association to reconfigure the way it operates, and is restructured</w:t>
      </w:r>
    </w:p>
    <w:p w:rsidR="00230AF2" w:rsidRDefault="005E1D76" w:rsidP="00230AF2">
      <w:pPr>
        <w:pStyle w:val="Ruthsbullets"/>
      </w:pPr>
      <w:r>
        <w:t>recording and managing the financial transactions associated with both children's and adult's social care, using the interface between the social care and financial systems</w:t>
      </w:r>
    </w:p>
    <w:p w:rsidR="00230AF2" w:rsidRDefault="005E1D76" w:rsidP="00230AF2">
      <w:pPr>
        <w:pStyle w:val="Ruthsbullets"/>
      </w:pPr>
      <w:r>
        <w:t>the transition of service users between children's and adult's social care support services</w:t>
      </w:r>
    </w:p>
    <w:p w:rsidR="00230AF2" w:rsidRDefault="005E1D76" w:rsidP="00230AF2">
      <w:pPr>
        <w:pStyle w:val="Ruthsbullets"/>
      </w:pPr>
      <w:r>
        <w:t>i</w:t>
      </w:r>
      <w:r w:rsidRPr="00662711">
        <w:t xml:space="preserve">mplementation and operation of </w:t>
      </w:r>
      <w:r>
        <w:t>an ICT strategy</w:t>
      </w:r>
    </w:p>
    <w:p w:rsidR="00230AF2" w:rsidRDefault="005E1D76" w:rsidP="00230AF2">
      <w:pPr>
        <w:pStyle w:val="Ruthsbullets"/>
      </w:pPr>
      <w:r>
        <w:t>asset management, following the implementation of new systems to manage both highways and property assets.</w:t>
      </w:r>
    </w:p>
    <w:p w:rsidR="003A7964" w:rsidRDefault="005E1D76" w:rsidP="001E1FCB">
      <w:pPr>
        <w:pStyle w:val="ListParagraph"/>
        <w:numPr>
          <w:ilvl w:val="1"/>
          <w:numId w:val="1"/>
        </w:numPr>
        <w:spacing w:before="120" w:after="120"/>
        <w:contextualSpacing w:val="0"/>
        <w:rPr>
          <w:rFonts w:cs="Arial"/>
        </w:rPr>
      </w:pPr>
      <w:r w:rsidRPr="006B64CD">
        <w:rPr>
          <w:rFonts w:cs="Arial"/>
        </w:rPr>
        <w:t>The Internal Audit Service's own work has generated positive assurance</w:t>
      </w:r>
      <w:r>
        <w:rPr>
          <w:rFonts w:cs="Arial"/>
        </w:rPr>
        <w:t xml:space="preserve"> over some important areas including the council's management of direct payments to adult service users and service users' financial assessments, and aspects of children's safeguarding. However we have given more limited assurance over other elements of adult social care – the coverage of the complex case decision-making process and 'Making Safeguarding Personal' programme in particular – and the administration of children's direct payments and the transition of service users from children's to adult services.</w:t>
      </w:r>
    </w:p>
    <w:p w:rsidR="00187E91" w:rsidRDefault="005E1D76" w:rsidP="001E1FCB">
      <w:pPr>
        <w:pStyle w:val="ListParagraph"/>
        <w:numPr>
          <w:ilvl w:val="1"/>
          <w:numId w:val="1"/>
        </w:numPr>
        <w:spacing w:before="120" w:after="120"/>
        <w:contextualSpacing w:val="0"/>
        <w:rPr>
          <w:rFonts w:cs="Arial"/>
        </w:rPr>
      </w:pPr>
      <w:r>
        <w:rPr>
          <w:rFonts w:cs="Arial"/>
        </w:rPr>
        <w:t xml:space="preserve">Other planned audit work has been deferred during the year whilst further action has been taken by management to understand the issues and plan the improvements still required. In particular this has affected work on the corporate recruitment process, </w:t>
      </w:r>
      <w:r w:rsidRPr="00CA5325">
        <w:rPr>
          <w:rFonts w:cs="Arial"/>
        </w:rPr>
        <w:t>supervision and support to front-line social workers</w:t>
      </w:r>
      <w:r>
        <w:rPr>
          <w:rFonts w:cs="Arial"/>
        </w:rPr>
        <w:t>, use of the Care Portal to pay care providers and the development of the Adult Services workforce.</w:t>
      </w:r>
    </w:p>
    <w:p w:rsidR="00A11005" w:rsidRDefault="005E1D76" w:rsidP="001E1FCB">
      <w:pPr>
        <w:pStyle w:val="ListParagraph"/>
        <w:numPr>
          <w:ilvl w:val="1"/>
          <w:numId w:val="1"/>
        </w:numPr>
        <w:spacing w:before="120" w:after="120"/>
        <w:contextualSpacing w:val="0"/>
        <w:rPr>
          <w:rFonts w:cs="Arial"/>
        </w:rPr>
      </w:pPr>
      <w:r>
        <w:rPr>
          <w:rFonts w:cs="Arial"/>
        </w:rPr>
        <w:t>Improvement plans have been developed across the organisation and these are supported by the new corporate Operational Plan. However it is still too early, as evidenced by the directors' assurance statements, to give more than limited assurance that internal control is adequate and consistently effective in supporting the council's objectives.</w:t>
      </w:r>
    </w:p>
    <w:p w:rsidR="001E1FCB" w:rsidRPr="00017CE8" w:rsidRDefault="005E1D76" w:rsidP="001E1FCB">
      <w:pPr>
        <w:pStyle w:val="Heading1"/>
        <w:numPr>
          <w:ilvl w:val="0"/>
          <w:numId w:val="1"/>
        </w:numPr>
        <w:spacing w:after="120"/>
        <w:rPr>
          <w:rFonts w:ascii="Arial" w:hAnsi="Arial" w:cs="Arial"/>
        </w:rPr>
      </w:pPr>
      <w:r w:rsidRPr="00017CE8">
        <w:rPr>
          <w:rFonts w:ascii="Arial" w:hAnsi="Arial" w:cs="Arial"/>
        </w:rPr>
        <w:t>Implications for the annual governance statement</w:t>
      </w:r>
    </w:p>
    <w:p w:rsidR="001E1FCB" w:rsidRDefault="005E1D76" w:rsidP="001E1FCB">
      <w:pPr>
        <w:numPr>
          <w:ilvl w:val="1"/>
          <w:numId w:val="1"/>
        </w:numPr>
        <w:spacing w:before="120" w:after="120"/>
      </w:pPr>
      <w:r w:rsidRPr="003D27CB">
        <w:t xml:space="preserve">In making its annual governance statement </w:t>
      </w:r>
      <w:r>
        <w:t xml:space="preserve">the council </w:t>
      </w:r>
      <w:r w:rsidRPr="003D27CB">
        <w:t xml:space="preserve">considers the </w:t>
      </w:r>
      <w:r>
        <w:t>head of i</w:t>
      </w:r>
      <w:r w:rsidRPr="003D27CB">
        <w:t xml:space="preserve">nternal </w:t>
      </w:r>
      <w:r>
        <w:t>a</w:t>
      </w:r>
      <w:r w:rsidRPr="003D27CB">
        <w:t xml:space="preserve">udit's opinion in relation to its </w:t>
      </w:r>
      <w:r>
        <w:t xml:space="preserve">frameworks of </w:t>
      </w:r>
      <w:r w:rsidRPr="003D27CB">
        <w:t>governance</w:t>
      </w:r>
      <w:r>
        <w:t>,</w:t>
      </w:r>
      <w:r w:rsidRPr="003D27CB">
        <w:t xml:space="preserve"> risk management </w:t>
      </w:r>
      <w:r>
        <w:t xml:space="preserve">and </w:t>
      </w:r>
      <w:r w:rsidRPr="003D27CB">
        <w:t xml:space="preserve">control. </w:t>
      </w:r>
      <w:r>
        <w:t xml:space="preserve">The council's </w:t>
      </w:r>
      <w:r w:rsidRPr="003D27CB">
        <w:t xml:space="preserve">annual governance statement </w:t>
      </w:r>
      <w:r>
        <w:t>should therefore reflect the continuing challenges presented by its financial position and projections; its continuing drive to make extremely challenging cost reductions; the effects of cost reductions on its ability to operate adequate and effective controls to properly manage the risks to its objectives. It should clearly also refer to the council's ongoing work with Ofsted, and work to improve its core ICT systems.</w:t>
      </w:r>
    </w:p>
    <w:p w:rsidR="001E1FCB" w:rsidRDefault="005E1D76" w:rsidP="001E1FCB">
      <w:pPr>
        <w:pStyle w:val="Heading1"/>
        <w:numPr>
          <w:ilvl w:val="0"/>
          <w:numId w:val="1"/>
        </w:numPr>
        <w:spacing w:after="120"/>
        <w:rPr>
          <w:rFonts w:ascii="Arial" w:hAnsi="Arial" w:cs="Arial"/>
        </w:rPr>
      </w:pPr>
      <w:r>
        <w:rPr>
          <w:rFonts w:ascii="Arial" w:hAnsi="Arial" w:cs="Arial"/>
        </w:rPr>
        <w:t>Organisational independence</w:t>
      </w:r>
    </w:p>
    <w:p w:rsidR="001E1FCB" w:rsidRPr="008939AC" w:rsidRDefault="005E1D76" w:rsidP="001E1FCB">
      <w:pPr>
        <w:numPr>
          <w:ilvl w:val="1"/>
          <w:numId w:val="1"/>
        </w:numPr>
        <w:spacing w:before="120" w:after="120"/>
      </w:pPr>
      <w:r>
        <w:t xml:space="preserve">The Internal Audit Service has access to and support from the council's Corporate Management Team and is able to operate independently within the organisation so is properly able to fulfil its responsibilities. In accordance with its charter the service </w:t>
      </w:r>
      <w:r w:rsidRPr="00B718C8">
        <w:rPr>
          <w:rFonts w:cs="Arial"/>
          <w:color w:val="000000"/>
        </w:rPr>
        <w:t>remains independent of the council's other functions and, with the exception of its support to management in relation to counter fraud and investigatory work, no member of the Internal Audit Service has any executive or operational responsibilities.</w:t>
      </w:r>
    </w:p>
    <w:p w:rsidR="001E1FCB" w:rsidRDefault="005E1D76" w:rsidP="001E1FCB">
      <w:pPr>
        <w:numPr>
          <w:ilvl w:val="1"/>
          <w:numId w:val="1"/>
        </w:numPr>
        <w:spacing w:before="120" w:after="120"/>
      </w:pPr>
      <w:r w:rsidRPr="00BA68DA">
        <w:rPr>
          <w:rFonts w:cs="Arial"/>
          <w:color w:val="000000"/>
        </w:rPr>
        <w:t xml:space="preserve">The Internal Audit Service’s work programme and priorities are determined in consultation with the </w:t>
      </w:r>
      <w:r>
        <w:rPr>
          <w:rFonts w:cs="Arial"/>
          <w:color w:val="000000"/>
        </w:rPr>
        <w:t xml:space="preserve">Corporate </w:t>
      </w:r>
      <w:r w:rsidRPr="00BA68DA">
        <w:rPr>
          <w:rFonts w:cs="Arial"/>
          <w:color w:val="000000"/>
        </w:rPr>
        <w:t>Management Team</w:t>
      </w:r>
      <w:r>
        <w:rPr>
          <w:rFonts w:cs="Arial"/>
          <w:color w:val="000000"/>
        </w:rPr>
        <w:t>, the council's senior managers</w:t>
      </w:r>
      <w:r w:rsidRPr="00BA68DA">
        <w:rPr>
          <w:rFonts w:cs="Arial"/>
          <w:color w:val="000000"/>
        </w:rPr>
        <w:t xml:space="preserve"> and the Audit</w:t>
      </w:r>
      <w:r>
        <w:rPr>
          <w:rFonts w:cs="Arial"/>
          <w:color w:val="000000"/>
        </w:rPr>
        <w:t>, Risk</w:t>
      </w:r>
      <w:r w:rsidRPr="00BA68DA">
        <w:rPr>
          <w:rFonts w:cs="Arial"/>
          <w:color w:val="000000"/>
        </w:rPr>
        <w:t xml:space="preserve"> and Governance Committee, but remain decision</w:t>
      </w:r>
      <w:r>
        <w:rPr>
          <w:rFonts w:cs="Arial"/>
          <w:color w:val="000000"/>
        </w:rPr>
        <w:t>s</w:t>
      </w:r>
      <w:r w:rsidRPr="00BA68DA">
        <w:rPr>
          <w:rFonts w:cs="Arial"/>
          <w:color w:val="000000"/>
        </w:rPr>
        <w:t xml:space="preserve"> for the head of internal audit. The head of internal audit has direct access to and freedom to report in her own name and without fear or fav</w:t>
      </w:r>
      <w:r>
        <w:rPr>
          <w:rFonts w:cs="Arial"/>
          <w:color w:val="000000"/>
        </w:rPr>
        <w:t>our to all officers and members</w:t>
      </w:r>
      <w:r w:rsidRPr="00BA68DA">
        <w:rPr>
          <w:rFonts w:cs="Arial"/>
          <w:color w:val="000000"/>
        </w:rPr>
        <w:t>.</w:t>
      </w:r>
    </w:p>
    <w:p w:rsidR="003C6534" w:rsidRDefault="005E1D76">
      <w:pPr>
        <w:spacing w:before="0" w:after="0"/>
        <w:rPr>
          <w:rFonts w:cs="Arial"/>
          <w:b/>
          <w:bCs/>
          <w:kern w:val="32"/>
          <w:sz w:val="32"/>
          <w:szCs w:val="32"/>
        </w:rPr>
      </w:pPr>
      <w:bookmarkStart w:id="4" w:name="IA_work_undertaken"/>
      <w:r>
        <w:rPr>
          <w:rFonts w:cs="Arial"/>
        </w:rPr>
        <w:br w:type="page"/>
      </w:r>
    </w:p>
    <w:p w:rsidR="001E1FCB" w:rsidRPr="00661B4E" w:rsidRDefault="005E1D76" w:rsidP="001E1FCB">
      <w:pPr>
        <w:pStyle w:val="Heading1"/>
        <w:numPr>
          <w:ilvl w:val="0"/>
          <w:numId w:val="1"/>
        </w:numPr>
        <w:spacing w:after="120"/>
      </w:pPr>
      <w:r w:rsidRPr="00661B4E">
        <w:rPr>
          <w:rFonts w:ascii="Arial" w:hAnsi="Arial" w:cs="Arial"/>
        </w:rPr>
        <w:t xml:space="preserve">Internal audit </w:t>
      </w:r>
      <w:bookmarkEnd w:id="4"/>
      <w:r w:rsidRPr="00661B4E">
        <w:rPr>
          <w:rFonts w:ascii="Arial" w:hAnsi="Arial" w:cs="Arial"/>
        </w:rPr>
        <w:t>performance</w:t>
      </w:r>
    </w:p>
    <w:p w:rsidR="001E1FCB" w:rsidRDefault="005E1D76" w:rsidP="001E1FCB">
      <w:pPr>
        <w:numPr>
          <w:ilvl w:val="1"/>
          <w:numId w:val="1"/>
        </w:numPr>
        <w:spacing w:before="120" w:after="120"/>
      </w:pPr>
      <w:r w:rsidRPr="00626D05">
        <w:t xml:space="preserve">Following confirmation of the structure of the service </w:t>
      </w:r>
      <w:r>
        <w:t>during the previous year the service's establishment is currently fully staffed.</w:t>
      </w:r>
    </w:p>
    <w:p w:rsidR="001E1FCB" w:rsidRPr="00DA2CD3" w:rsidRDefault="005E1D76" w:rsidP="001E1FCB">
      <w:pPr>
        <w:tabs>
          <w:tab w:val="left" w:pos="284"/>
        </w:tabs>
        <w:spacing w:before="120" w:after="120"/>
        <w:rPr>
          <w:b/>
        </w:rPr>
      </w:pPr>
      <w:r w:rsidRPr="00DA2CD3">
        <w:rPr>
          <w:b/>
        </w:rPr>
        <w:t>Completion of the internal audit plan 201</w:t>
      </w:r>
      <w:r>
        <w:rPr>
          <w:b/>
        </w:rPr>
        <w:t>7/18</w:t>
      </w:r>
    </w:p>
    <w:p w:rsidR="001E1FCB" w:rsidRDefault="005E1D76" w:rsidP="001E1FCB">
      <w:pPr>
        <w:numPr>
          <w:ilvl w:val="1"/>
          <w:numId w:val="1"/>
        </w:numPr>
        <w:spacing w:before="120" w:after="120"/>
      </w:pPr>
      <w:r w:rsidRPr="003422EF">
        <w:t xml:space="preserve">The </w:t>
      </w:r>
      <w:r>
        <w:t>outputs</w:t>
      </w:r>
      <w:r w:rsidRPr="003422EF">
        <w:t xml:space="preserve"> of our audit work have been reported in detail to the </w:t>
      </w:r>
      <w:r>
        <w:t xml:space="preserve">senior management teams of </w:t>
      </w:r>
      <w:r w:rsidRPr="003422EF">
        <w:t xml:space="preserve">individual </w:t>
      </w:r>
      <w:r>
        <w:t>service areas</w:t>
      </w:r>
      <w:r w:rsidRPr="003422EF">
        <w:t xml:space="preserve">, and the key themes arising for </w:t>
      </w:r>
      <w:r>
        <w:t xml:space="preserve">them and for </w:t>
      </w:r>
      <w:r w:rsidRPr="003422EF">
        <w:t xml:space="preserve">the </w:t>
      </w:r>
      <w:r>
        <w:t>council</w:t>
      </w:r>
      <w:r w:rsidRPr="003422EF">
        <w:t xml:space="preserve"> as a whole are set out above.</w:t>
      </w:r>
    </w:p>
    <w:p w:rsidR="001E1FCB" w:rsidRDefault="005E1D76" w:rsidP="009840BE">
      <w:pPr>
        <w:numPr>
          <w:ilvl w:val="1"/>
          <w:numId w:val="1"/>
        </w:numPr>
        <w:spacing w:before="120" w:after="120"/>
      </w:pPr>
      <w:r>
        <w:t>As set out at paragraph 2.6 above, at this point w</w:t>
      </w:r>
      <w:r w:rsidRPr="00CD6FA9">
        <w:t xml:space="preserve">e have </w:t>
      </w:r>
      <w:r>
        <w:t xml:space="preserve">provided assurance through 31 </w:t>
      </w:r>
      <w:r w:rsidRPr="00CD6FA9">
        <w:t xml:space="preserve">individual </w:t>
      </w:r>
      <w:r>
        <w:t xml:space="preserve">audit </w:t>
      </w:r>
      <w:r w:rsidRPr="00E85F38">
        <w:t xml:space="preserve">assignment reports (2016/17, 31), as well as a number of other pieces of work that have not resulted in assurance opinions, and these are set out in Appendix B. This </w:t>
      </w:r>
      <w:r>
        <w:t>represents 53</w:t>
      </w:r>
      <w:r w:rsidRPr="00C22F6C">
        <w:t>%</w:t>
      </w:r>
      <w:r>
        <w:t xml:space="preserve"> of the total plan after some work has been deferred and removed and, at the same time as work on the audit plan for 2018/19 is begun, the remaining work for 2017/18 will be completed and reported to the committee in July 2018.</w:t>
      </w:r>
    </w:p>
    <w:p w:rsidR="00700753" w:rsidRPr="00700753" w:rsidRDefault="005E1D76" w:rsidP="00700753">
      <w:pPr>
        <w:tabs>
          <w:tab w:val="left" w:pos="284"/>
        </w:tabs>
        <w:spacing w:before="120" w:after="120"/>
        <w:rPr>
          <w:b/>
        </w:rPr>
      </w:pPr>
      <w:r w:rsidRPr="00700753">
        <w:rPr>
          <w:b/>
        </w:rPr>
        <w:t>Client satisfaction</w:t>
      </w:r>
    </w:p>
    <w:p w:rsidR="003A7121" w:rsidRDefault="005E1D76" w:rsidP="003A7121">
      <w:pPr>
        <w:numPr>
          <w:ilvl w:val="1"/>
          <w:numId w:val="1"/>
        </w:numPr>
        <w:spacing w:before="120" w:after="120"/>
      </w:pPr>
      <w:r>
        <w:t>T</w:t>
      </w:r>
      <w:r w:rsidRPr="00757D60">
        <w:t xml:space="preserve">he </w:t>
      </w:r>
      <w:r>
        <w:t xml:space="preserve">Internal </w:t>
      </w:r>
      <w:r w:rsidRPr="00757D60">
        <w:t xml:space="preserve">Audit Service </w:t>
      </w:r>
      <w:r>
        <w:t>has requested feedback from its auditees throughout the year</w:t>
      </w:r>
      <w:r w:rsidRPr="00626D05">
        <w:t xml:space="preserve"> </w:t>
      </w:r>
      <w:r>
        <w:t>as each audit assignment has been completed. This has provided very positive feedback about the conduct of our audit work and a few helpful indications of practical matters for the team to consider in conducting its work.</w:t>
      </w:r>
    </w:p>
    <w:p w:rsidR="00206171" w:rsidRDefault="005E1D76" w:rsidP="00C019F6">
      <w:pPr>
        <w:numPr>
          <w:ilvl w:val="1"/>
          <w:numId w:val="1"/>
        </w:numPr>
        <w:spacing w:before="120" w:after="120"/>
      </w:pPr>
      <w:r>
        <w:t>We have received feedback on 52% of the audit engagements completed for the county council, although surveys have only just been sent for the most recently completed audits. Because in some cases more than one auditee has responded, we have received 33 surveys relating to 2017/18 from all our auditees including from our external client organisations.</w:t>
      </w:r>
    </w:p>
    <w:p w:rsidR="00700753" w:rsidRDefault="005E1D76" w:rsidP="00C81B89">
      <w:pPr>
        <w:numPr>
          <w:ilvl w:val="1"/>
          <w:numId w:val="1"/>
        </w:numPr>
        <w:spacing w:before="120" w:after="120"/>
      </w:pPr>
      <w:r>
        <w:t>Our auditees have told us in every case that, overall, they were satisfied with the way we conducted our work with them. We also seek more detailed feedback in relation to our audit planning, the audit process and reporting, our behaviour, and our management and service to our auditees. Our auditees have judged our performance across all categories to be very good in 52% of our audits, and a mix of very good and good in a further 45% of audits. We were judged as fair in some areas on just one audit (and even in that case the auditee also commented that, "</w:t>
      </w:r>
      <w:r w:rsidRPr="00C81B89">
        <w:t>I thought it was well planned and staff had a great understanding</w:t>
      </w:r>
      <w:r>
        <w:t>"</w:t>
      </w:r>
      <w:r w:rsidRPr="00C81B89">
        <w:t>.</w:t>
      </w:r>
      <w:r>
        <w:t>)</w:t>
      </w:r>
    </w:p>
    <w:p w:rsidR="00033A9A" w:rsidRPr="00C66638" w:rsidRDefault="005E1D76" w:rsidP="00033A9A">
      <w:pPr>
        <w:numPr>
          <w:ilvl w:val="0"/>
          <w:numId w:val="1"/>
        </w:numPr>
        <w:spacing w:before="120" w:after="120"/>
        <w:rPr>
          <w:rFonts w:cs="Arial"/>
          <w:b/>
          <w:sz w:val="28"/>
          <w:szCs w:val="28"/>
        </w:rPr>
      </w:pPr>
      <w:r>
        <w:rPr>
          <w:rFonts w:cs="Arial"/>
          <w:b/>
          <w:sz w:val="28"/>
          <w:szCs w:val="28"/>
        </w:rPr>
        <w:t>Quality assurance and improvement programme</w:t>
      </w:r>
    </w:p>
    <w:p w:rsidR="00C14601" w:rsidRDefault="005E1D76" w:rsidP="00C26D56">
      <w:pPr>
        <w:numPr>
          <w:ilvl w:val="1"/>
          <w:numId w:val="1"/>
        </w:numPr>
        <w:autoSpaceDE w:val="0"/>
        <w:autoSpaceDN w:val="0"/>
        <w:adjustRightInd w:val="0"/>
        <w:spacing w:before="120" w:after="120"/>
        <w:rPr>
          <w:rFonts w:cs="Arial"/>
          <w:color w:val="000000"/>
        </w:rPr>
      </w:pPr>
      <w:r w:rsidRPr="00C14601">
        <w:rPr>
          <w:rFonts w:cs="Arial"/>
        </w:rPr>
        <w:t xml:space="preserve">The Internal Audit Service has established and regularly reviews a quality assurance and improvement programme. </w:t>
      </w:r>
      <w:r w:rsidRPr="00C14601">
        <w:rPr>
          <w:rFonts w:cs="Arial"/>
          <w:color w:val="000000"/>
        </w:rPr>
        <w:t>PSIAS requires that all aspects of internal audit activity are considered by a combination of ongoing internal monitoring, periodic self-assessments or internal assessments by others with sufficient knowledge, and independent external review at least once every five years.</w:t>
      </w:r>
    </w:p>
    <w:p w:rsidR="00DC4667" w:rsidRDefault="005E1D76">
      <w:pPr>
        <w:spacing w:before="0" w:after="0"/>
        <w:rPr>
          <w:rFonts w:cs="Arial"/>
        </w:rPr>
      </w:pPr>
      <w:r>
        <w:rPr>
          <w:rFonts w:cs="Arial"/>
        </w:rPr>
        <w:br w:type="page"/>
      </w:r>
    </w:p>
    <w:tbl>
      <w:tblPr>
        <w:tblStyle w:val="TableGrid"/>
        <w:tblW w:w="8221" w:type="dxa"/>
        <w:tblInd w:w="846" w:type="dxa"/>
        <w:tblLook w:val="04A0" w:firstRow="1" w:lastRow="0" w:firstColumn="1" w:lastColumn="0" w:noHBand="0" w:noVBand="1"/>
      </w:tblPr>
      <w:tblGrid>
        <w:gridCol w:w="4252"/>
        <w:gridCol w:w="1116"/>
        <w:gridCol w:w="1011"/>
        <w:gridCol w:w="1842"/>
      </w:tblGrid>
      <w:tr w:rsidR="00DC2721" w:rsidTr="00C14601">
        <w:tc>
          <w:tcPr>
            <w:tcW w:w="4252" w:type="dxa"/>
            <w:tcBorders>
              <w:bottom w:val="single" w:sz="4" w:space="0" w:color="auto"/>
            </w:tcBorders>
            <w:shd w:val="clear" w:color="auto" w:fill="D9D9D9" w:themeFill="background1" w:themeFillShade="D9"/>
          </w:tcPr>
          <w:p w:rsidR="00C14601" w:rsidRPr="00C14601" w:rsidRDefault="005E1D76" w:rsidP="001E0265">
            <w:pPr>
              <w:autoSpaceDE w:val="0"/>
              <w:autoSpaceDN w:val="0"/>
              <w:adjustRightInd w:val="0"/>
              <w:rPr>
                <w:rFonts w:cs="Arial"/>
                <w:b/>
                <w:color w:val="000000"/>
                <w:sz w:val="22"/>
                <w:szCs w:val="22"/>
              </w:rPr>
            </w:pPr>
            <w:r w:rsidRPr="00C14601">
              <w:rPr>
                <w:rFonts w:cs="Arial"/>
                <w:b/>
                <w:color w:val="000000"/>
                <w:sz w:val="22"/>
                <w:szCs w:val="22"/>
              </w:rPr>
              <w:t>Type of review</w:t>
            </w:r>
          </w:p>
        </w:tc>
        <w:tc>
          <w:tcPr>
            <w:tcW w:w="2127" w:type="dxa"/>
            <w:gridSpan w:val="2"/>
            <w:shd w:val="clear" w:color="auto" w:fill="D9D9D9" w:themeFill="background1" w:themeFillShade="D9"/>
          </w:tcPr>
          <w:p w:rsidR="00C14601" w:rsidRPr="00C14601" w:rsidRDefault="005E1D76" w:rsidP="001E0265">
            <w:pPr>
              <w:autoSpaceDE w:val="0"/>
              <w:autoSpaceDN w:val="0"/>
              <w:adjustRightInd w:val="0"/>
              <w:jc w:val="center"/>
              <w:rPr>
                <w:rFonts w:cs="Arial"/>
                <w:b/>
                <w:color w:val="000000"/>
                <w:sz w:val="22"/>
                <w:szCs w:val="22"/>
              </w:rPr>
            </w:pPr>
            <w:r w:rsidRPr="00C14601">
              <w:rPr>
                <w:rFonts w:cs="Arial"/>
                <w:b/>
                <w:color w:val="000000"/>
                <w:sz w:val="22"/>
                <w:szCs w:val="22"/>
              </w:rPr>
              <w:t>Internal review</w:t>
            </w:r>
          </w:p>
        </w:tc>
        <w:tc>
          <w:tcPr>
            <w:tcW w:w="1842" w:type="dxa"/>
            <w:shd w:val="clear" w:color="auto" w:fill="D9D9D9" w:themeFill="background1" w:themeFillShade="D9"/>
          </w:tcPr>
          <w:p w:rsidR="00C14601" w:rsidRPr="00C14601" w:rsidRDefault="005E1D76" w:rsidP="001E0265">
            <w:pPr>
              <w:autoSpaceDE w:val="0"/>
              <w:autoSpaceDN w:val="0"/>
              <w:adjustRightInd w:val="0"/>
              <w:jc w:val="center"/>
              <w:rPr>
                <w:rFonts w:cs="Arial"/>
                <w:b/>
                <w:color w:val="000000"/>
                <w:sz w:val="22"/>
                <w:szCs w:val="22"/>
              </w:rPr>
            </w:pPr>
            <w:r w:rsidRPr="00C14601">
              <w:rPr>
                <w:rFonts w:cs="Arial"/>
                <w:b/>
                <w:color w:val="000000"/>
                <w:sz w:val="22"/>
                <w:szCs w:val="22"/>
              </w:rPr>
              <w:t>External review</w:t>
            </w:r>
          </w:p>
        </w:tc>
      </w:tr>
      <w:tr w:rsidR="00DC2721" w:rsidTr="00C14601">
        <w:tc>
          <w:tcPr>
            <w:tcW w:w="4252" w:type="dxa"/>
            <w:tcBorders>
              <w:top w:val="single" w:sz="4" w:space="0" w:color="auto"/>
            </w:tcBorders>
            <w:shd w:val="clear" w:color="auto" w:fill="F2F2F2" w:themeFill="background1" w:themeFillShade="F2"/>
          </w:tcPr>
          <w:p w:rsidR="00C14601" w:rsidRPr="00C14601" w:rsidRDefault="005E1D76" w:rsidP="001E0265">
            <w:pPr>
              <w:autoSpaceDE w:val="0"/>
              <w:autoSpaceDN w:val="0"/>
              <w:adjustRightInd w:val="0"/>
              <w:jc w:val="right"/>
              <w:rPr>
                <w:rFonts w:cs="Arial"/>
                <w:color w:val="000000"/>
                <w:sz w:val="22"/>
                <w:szCs w:val="22"/>
              </w:rPr>
            </w:pPr>
            <w:r w:rsidRPr="00C14601">
              <w:rPr>
                <w:rFonts w:cs="Arial"/>
                <w:color w:val="000000"/>
                <w:sz w:val="22"/>
                <w:szCs w:val="22"/>
              </w:rPr>
              <w:t>Frequency</w:t>
            </w:r>
          </w:p>
        </w:tc>
        <w:tc>
          <w:tcPr>
            <w:tcW w:w="1116" w:type="dxa"/>
            <w:shd w:val="clear" w:color="auto" w:fill="F2F2F2" w:themeFill="background1" w:themeFillShade="F2"/>
          </w:tcPr>
          <w:p w:rsidR="00C14601" w:rsidRPr="00C14601" w:rsidRDefault="005E1D76" w:rsidP="001E0265">
            <w:pPr>
              <w:autoSpaceDE w:val="0"/>
              <w:autoSpaceDN w:val="0"/>
              <w:adjustRightInd w:val="0"/>
              <w:jc w:val="center"/>
              <w:rPr>
                <w:rFonts w:cs="Arial"/>
                <w:color w:val="000000"/>
                <w:sz w:val="22"/>
                <w:szCs w:val="22"/>
              </w:rPr>
            </w:pPr>
            <w:r w:rsidRPr="00C14601">
              <w:rPr>
                <w:rFonts w:cs="Arial"/>
                <w:color w:val="000000"/>
                <w:sz w:val="22"/>
                <w:szCs w:val="22"/>
              </w:rPr>
              <w:t>Ongoing</w:t>
            </w:r>
          </w:p>
        </w:tc>
        <w:tc>
          <w:tcPr>
            <w:tcW w:w="1011" w:type="dxa"/>
            <w:shd w:val="clear" w:color="auto" w:fill="F2F2F2" w:themeFill="background1" w:themeFillShade="F2"/>
          </w:tcPr>
          <w:p w:rsidR="00C14601" w:rsidRPr="00C14601" w:rsidRDefault="005E1D76" w:rsidP="001E0265">
            <w:pPr>
              <w:autoSpaceDE w:val="0"/>
              <w:autoSpaceDN w:val="0"/>
              <w:adjustRightInd w:val="0"/>
              <w:jc w:val="center"/>
              <w:rPr>
                <w:rFonts w:cs="Arial"/>
                <w:color w:val="000000"/>
                <w:sz w:val="22"/>
                <w:szCs w:val="22"/>
              </w:rPr>
            </w:pPr>
            <w:r w:rsidRPr="00C14601">
              <w:rPr>
                <w:rFonts w:cs="Arial"/>
                <w:color w:val="000000"/>
                <w:sz w:val="22"/>
                <w:szCs w:val="22"/>
              </w:rPr>
              <w:t>Periodic</w:t>
            </w:r>
          </w:p>
        </w:tc>
        <w:tc>
          <w:tcPr>
            <w:tcW w:w="1842" w:type="dxa"/>
            <w:shd w:val="clear" w:color="auto" w:fill="F2F2F2" w:themeFill="background1" w:themeFillShade="F2"/>
          </w:tcPr>
          <w:p w:rsidR="00C14601" w:rsidRPr="00C14601" w:rsidRDefault="005E1D76" w:rsidP="001E0265">
            <w:pPr>
              <w:autoSpaceDE w:val="0"/>
              <w:autoSpaceDN w:val="0"/>
              <w:adjustRightInd w:val="0"/>
              <w:jc w:val="center"/>
              <w:rPr>
                <w:rFonts w:cs="Arial"/>
                <w:color w:val="000000"/>
                <w:sz w:val="22"/>
                <w:szCs w:val="22"/>
              </w:rPr>
            </w:pPr>
            <w:r w:rsidRPr="00C14601">
              <w:rPr>
                <w:rFonts w:cs="Arial"/>
                <w:color w:val="000000"/>
                <w:sz w:val="22"/>
                <w:szCs w:val="22"/>
              </w:rPr>
              <w:t>At least 5-yearly</w:t>
            </w:r>
          </w:p>
        </w:tc>
      </w:tr>
      <w:tr w:rsidR="00DC2721" w:rsidTr="00C14601">
        <w:trPr>
          <w:trHeight w:val="384"/>
        </w:trPr>
        <w:tc>
          <w:tcPr>
            <w:tcW w:w="4252" w:type="dxa"/>
            <w:shd w:val="clear" w:color="auto" w:fill="F2F2F2" w:themeFill="background1" w:themeFillShade="F2"/>
          </w:tcPr>
          <w:p w:rsidR="00C14601" w:rsidRPr="00C14601" w:rsidRDefault="005E1D76" w:rsidP="001E0265">
            <w:pPr>
              <w:autoSpaceDE w:val="0"/>
              <w:autoSpaceDN w:val="0"/>
              <w:adjustRightInd w:val="0"/>
              <w:rPr>
                <w:rFonts w:cs="Arial"/>
                <w:color w:val="000000"/>
                <w:sz w:val="22"/>
                <w:szCs w:val="22"/>
              </w:rPr>
            </w:pPr>
            <w:r w:rsidRPr="00C14601">
              <w:rPr>
                <w:rFonts w:cs="Arial"/>
                <w:color w:val="000000"/>
                <w:sz w:val="22"/>
                <w:szCs w:val="22"/>
              </w:rPr>
              <w:t>Audit assignment quality</w:t>
            </w:r>
          </w:p>
        </w:tc>
        <w:tc>
          <w:tcPr>
            <w:tcW w:w="1116" w:type="dxa"/>
            <w:vAlign w:val="center"/>
          </w:tcPr>
          <w:p w:rsidR="00C14601" w:rsidRPr="00C14601" w:rsidRDefault="005E1D76" w:rsidP="001E0265">
            <w:pPr>
              <w:autoSpaceDE w:val="0"/>
              <w:autoSpaceDN w:val="0"/>
              <w:adjustRightInd w:val="0"/>
              <w:jc w:val="center"/>
              <w:rPr>
                <w:rFonts w:cs="Arial"/>
                <w:color w:val="000000"/>
                <w:sz w:val="22"/>
                <w:szCs w:val="22"/>
              </w:rPr>
            </w:pPr>
            <w:r w:rsidRPr="00C14601">
              <w:rPr>
                <w:rFonts w:ascii="Wingdings" w:hAnsi="Wingdings" w:cs="Arial"/>
                <w:color w:val="000000"/>
                <w:sz w:val="22"/>
                <w:szCs w:val="22"/>
              </w:rPr>
              <w:sym w:font="Wingdings" w:char="F0FC"/>
            </w:r>
          </w:p>
        </w:tc>
        <w:tc>
          <w:tcPr>
            <w:tcW w:w="1011" w:type="dxa"/>
            <w:vAlign w:val="center"/>
          </w:tcPr>
          <w:p w:rsidR="00C14601" w:rsidRPr="00C14601" w:rsidRDefault="006E2E49" w:rsidP="001E0265">
            <w:pPr>
              <w:autoSpaceDE w:val="0"/>
              <w:autoSpaceDN w:val="0"/>
              <w:adjustRightInd w:val="0"/>
              <w:jc w:val="center"/>
              <w:rPr>
                <w:rFonts w:cs="Arial"/>
                <w:color w:val="000000"/>
                <w:sz w:val="22"/>
                <w:szCs w:val="22"/>
              </w:rPr>
            </w:pPr>
          </w:p>
        </w:tc>
        <w:tc>
          <w:tcPr>
            <w:tcW w:w="1842" w:type="dxa"/>
            <w:vAlign w:val="center"/>
          </w:tcPr>
          <w:p w:rsidR="00C14601" w:rsidRPr="00C14601" w:rsidRDefault="005E1D76" w:rsidP="001E0265">
            <w:pPr>
              <w:autoSpaceDE w:val="0"/>
              <w:autoSpaceDN w:val="0"/>
              <w:adjustRightInd w:val="0"/>
              <w:jc w:val="center"/>
              <w:rPr>
                <w:rFonts w:cs="Arial"/>
                <w:color w:val="000000"/>
                <w:sz w:val="22"/>
                <w:szCs w:val="22"/>
              </w:rPr>
            </w:pPr>
            <w:r w:rsidRPr="00C14601">
              <w:rPr>
                <w:rFonts w:ascii="Wingdings" w:hAnsi="Wingdings" w:cs="Arial"/>
                <w:color w:val="000000"/>
                <w:sz w:val="22"/>
                <w:szCs w:val="22"/>
              </w:rPr>
              <w:sym w:font="Wingdings" w:char="F0FC"/>
            </w:r>
          </w:p>
        </w:tc>
      </w:tr>
      <w:tr w:rsidR="00DC2721" w:rsidTr="00C14601">
        <w:trPr>
          <w:trHeight w:val="266"/>
        </w:trPr>
        <w:tc>
          <w:tcPr>
            <w:tcW w:w="4252" w:type="dxa"/>
            <w:shd w:val="clear" w:color="auto" w:fill="F2F2F2" w:themeFill="background1" w:themeFillShade="F2"/>
          </w:tcPr>
          <w:p w:rsidR="00C14601" w:rsidRPr="00C14601" w:rsidRDefault="005E1D76" w:rsidP="001E0265">
            <w:pPr>
              <w:autoSpaceDE w:val="0"/>
              <w:autoSpaceDN w:val="0"/>
              <w:adjustRightInd w:val="0"/>
              <w:rPr>
                <w:rFonts w:cs="Arial"/>
                <w:color w:val="000000"/>
                <w:sz w:val="22"/>
                <w:szCs w:val="22"/>
              </w:rPr>
            </w:pPr>
            <w:r w:rsidRPr="00C14601">
              <w:rPr>
                <w:rFonts w:cs="Arial"/>
                <w:color w:val="000000"/>
                <w:sz w:val="22"/>
                <w:szCs w:val="22"/>
              </w:rPr>
              <w:t>Professional and operational framework</w:t>
            </w:r>
          </w:p>
        </w:tc>
        <w:tc>
          <w:tcPr>
            <w:tcW w:w="1116" w:type="dxa"/>
            <w:vAlign w:val="center"/>
          </w:tcPr>
          <w:p w:rsidR="00C14601" w:rsidRPr="00C14601" w:rsidRDefault="006E2E49" w:rsidP="001E0265">
            <w:pPr>
              <w:autoSpaceDE w:val="0"/>
              <w:autoSpaceDN w:val="0"/>
              <w:adjustRightInd w:val="0"/>
              <w:jc w:val="center"/>
              <w:rPr>
                <w:rFonts w:cs="Arial"/>
                <w:color w:val="000000"/>
                <w:sz w:val="22"/>
                <w:szCs w:val="22"/>
              </w:rPr>
            </w:pPr>
          </w:p>
        </w:tc>
        <w:tc>
          <w:tcPr>
            <w:tcW w:w="1011" w:type="dxa"/>
            <w:vAlign w:val="center"/>
          </w:tcPr>
          <w:p w:rsidR="00C14601" w:rsidRPr="00C14601" w:rsidRDefault="005E1D76" w:rsidP="001E0265">
            <w:pPr>
              <w:autoSpaceDE w:val="0"/>
              <w:autoSpaceDN w:val="0"/>
              <w:adjustRightInd w:val="0"/>
              <w:jc w:val="center"/>
              <w:rPr>
                <w:rFonts w:cs="Arial"/>
                <w:color w:val="000000"/>
                <w:sz w:val="22"/>
                <w:szCs w:val="22"/>
              </w:rPr>
            </w:pPr>
            <w:r w:rsidRPr="00C14601">
              <w:rPr>
                <w:rFonts w:ascii="Wingdings" w:hAnsi="Wingdings" w:cs="Arial"/>
                <w:color w:val="000000"/>
                <w:sz w:val="22"/>
                <w:szCs w:val="22"/>
              </w:rPr>
              <w:sym w:font="Wingdings" w:char="F0FC"/>
            </w:r>
          </w:p>
        </w:tc>
        <w:tc>
          <w:tcPr>
            <w:tcW w:w="1842" w:type="dxa"/>
            <w:vAlign w:val="center"/>
          </w:tcPr>
          <w:p w:rsidR="00C14601" w:rsidRPr="00C14601" w:rsidRDefault="005E1D76" w:rsidP="001E0265">
            <w:pPr>
              <w:autoSpaceDE w:val="0"/>
              <w:autoSpaceDN w:val="0"/>
              <w:adjustRightInd w:val="0"/>
              <w:jc w:val="center"/>
              <w:rPr>
                <w:rFonts w:cs="Arial"/>
                <w:color w:val="000000"/>
                <w:sz w:val="22"/>
                <w:szCs w:val="22"/>
              </w:rPr>
            </w:pPr>
            <w:r w:rsidRPr="00C14601">
              <w:rPr>
                <w:rFonts w:ascii="Wingdings" w:hAnsi="Wingdings" w:cs="Arial"/>
                <w:color w:val="000000"/>
                <w:sz w:val="22"/>
                <w:szCs w:val="22"/>
              </w:rPr>
              <w:sym w:font="Wingdings" w:char="F0FC"/>
            </w:r>
          </w:p>
        </w:tc>
      </w:tr>
    </w:tbl>
    <w:p w:rsidR="00C14601" w:rsidRDefault="005E1D76" w:rsidP="00C14601">
      <w:pPr>
        <w:numPr>
          <w:ilvl w:val="1"/>
          <w:numId w:val="1"/>
        </w:numPr>
        <w:autoSpaceDE w:val="0"/>
        <w:autoSpaceDN w:val="0"/>
        <w:adjustRightInd w:val="0"/>
        <w:spacing w:before="120" w:after="120"/>
        <w:rPr>
          <w:rFonts w:cs="Arial"/>
          <w:color w:val="000000"/>
        </w:rPr>
      </w:pPr>
      <w:r w:rsidRPr="00F80097">
        <w:rPr>
          <w:rFonts w:cs="Arial"/>
          <w:color w:val="000000"/>
        </w:rPr>
        <w:t>Following this framework, the</w:t>
      </w:r>
      <w:r w:rsidRPr="002553D0">
        <w:rPr>
          <w:rFonts w:cs="Arial"/>
        </w:rPr>
        <w:t xml:space="preserve"> </w:t>
      </w:r>
      <w:r w:rsidRPr="00C14601">
        <w:rPr>
          <w:rFonts w:cs="Arial"/>
        </w:rPr>
        <w:t>Internal Audit Service</w:t>
      </w:r>
      <w:r>
        <w:rPr>
          <w:rFonts w:cs="Arial"/>
        </w:rPr>
        <w:t>'s</w:t>
      </w:r>
      <w:r w:rsidRPr="00F80097">
        <w:rPr>
          <w:rFonts w:cs="Arial"/>
          <w:color w:val="000000"/>
        </w:rPr>
        <w:t xml:space="preserve"> quality assurance and improvement programme consists of internal ongoing monitoring of audit assignment quality, periodic internal assessment of the professional and operational framework, and external review.</w:t>
      </w:r>
    </w:p>
    <w:p w:rsidR="002553D0" w:rsidRPr="002553D0" w:rsidRDefault="005E1D76" w:rsidP="002553D0">
      <w:pPr>
        <w:tabs>
          <w:tab w:val="left" w:pos="284"/>
        </w:tabs>
        <w:spacing w:before="120" w:after="120"/>
        <w:rPr>
          <w:b/>
        </w:rPr>
      </w:pPr>
      <w:r w:rsidRPr="002553D0">
        <w:rPr>
          <w:b/>
        </w:rPr>
        <w:t>External review</w:t>
      </w:r>
    </w:p>
    <w:p w:rsidR="00530A9F" w:rsidRDefault="005E1D76" w:rsidP="00C73AC8">
      <w:pPr>
        <w:numPr>
          <w:ilvl w:val="1"/>
          <w:numId w:val="1"/>
        </w:numPr>
        <w:spacing w:before="120" w:after="120"/>
        <w:rPr>
          <w:rFonts w:cs="Arial"/>
        </w:rPr>
      </w:pPr>
      <w:r>
        <w:rPr>
          <w:rFonts w:cs="Arial"/>
        </w:rPr>
        <w:t xml:space="preserve">The findings of the external quality assessment undertaken by the Chartered Institute of Internal Auditors were reported to the committee in January 2018. This </w:t>
      </w:r>
      <w:r>
        <w:t xml:space="preserve">confirmed </w:t>
      </w:r>
      <w:r w:rsidRPr="00626D05">
        <w:t xml:space="preserve">that the </w:t>
      </w:r>
      <w:r>
        <w:t>Internal Audit S</w:t>
      </w:r>
      <w:r w:rsidRPr="00626D05">
        <w:t xml:space="preserve">ervice </w:t>
      </w:r>
      <w:r>
        <w:t>'generally conforms' to the full range of standards set out in the International Professional Practice Framework, PSIAS and Local Government Application Note. W</w:t>
      </w:r>
      <w:r>
        <w:rPr>
          <w:rFonts w:cs="Arial"/>
        </w:rPr>
        <w:t>ork has continued to address the few matters raised to improve the operation of the service and an assessment of progress against the action plan will be provided to any member who wishes to see it.</w:t>
      </w:r>
    </w:p>
    <w:p w:rsidR="00D81BC6" w:rsidRPr="00D81BC6" w:rsidRDefault="005E1D76" w:rsidP="00C73AC8">
      <w:pPr>
        <w:numPr>
          <w:ilvl w:val="1"/>
          <w:numId w:val="1"/>
        </w:numPr>
        <w:spacing w:before="120" w:after="120"/>
        <w:rPr>
          <w:rFonts w:cs="Arial"/>
          <w:color w:val="000000"/>
        </w:rPr>
      </w:pPr>
      <w:r w:rsidRPr="00D81BC6">
        <w:rPr>
          <w:rFonts w:cs="Arial"/>
          <w:color w:val="000000"/>
        </w:rPr>
        <w:t>The review has confirmed that the Internal Audit Service can say that its work has been in accordanc</w:t>
      </w:r>
      <w:r>
        <w:rPr>
          <w:rFonts w:cs="Arial"/>
          <w:color w:val="000000"/>
        </w:rPr>
        <w:t>e with the International Professional Practices Framework, PSIAS and the Local Government Application Note.</w:t>
      </w:r>
    </w:p>
    <w:p w:rsidR="002553D0" w:rsidRPr="002553D0" w:rsidRDefault="005E1D76" w:rsidP="002553D0">
      <w:pPr>
        <w:spacing w:before="120" w:after="120"/>
        <w:rPr>
          <w:b/>
        </w:rPr>
      </w:pPr>
      <w:r w:rsidRPr="002553D0">
        <w:rPr>
          <w:b/>
        </w:rPr>
        <w:t>Internal review</w:t>
      </w:r>
    </w:p>
    <w:p w:rsidR="00AA23A6" w:rsidRPr="00C73AC8" w:rsidRDefault="005E1D76" w:rsidP="00794637">
      <w:pPr>
        <w:numPr>
          <w:ilvl w:val="1"/>
          <w:numId w:val="1"/>
        </w:numPr>
        <w:spacing w:before="120" w:after="120"/>
        <w:rPr>
          <w:rFonts w:cs="Arial"/>
        </w:rPr>
      </w:pPr>
      <w:r w:rsidRPr="00A561D0">
        <w:rPr>
          <w:rFonts w:cs="Arial"/>
          <w:color w:val="000000"/>
        </w:rPr>
        <w:t xml:space="preserve">The Internal Audit Service has designed procedures and </w:t>
      </w:r>
      <w:r>
        <w:rPr>
          <w:rFonts w:cs="Arial"/>
          <w:color w:val="000000"/>
        </w:rPr>
        <w:t xml:space="preserve">an audit </w:t>
      </w:r>
      <w:r w:rsidRPr="00A561D0">
        <w:rPr>
          <w:rFonts w:cs="Arial"/>
          <w:color w:val="000000"/>
        </w:rPr>
        <w:t xml:space="preserve">methodology </w:t>
      </w:r>
      <w:r>
        <w:rPr>
          <w:rFonts w:cs="Arial"/>
          <w:color w:val="000000"/>
        </w:rPr>
        <w:t>that conform to</w:t>
      </w:r>
      <w:r w:rsidRPr="00A561D0">
        <w:rPr>
          <w:rFonts w:cs="Arial"/>
          <w:color w:val="000000"/>
        </w:rPr>
        <w:t xml:space="preserve"> </w:t>
      </w:r>
      <w:r w:rsidRPr="007D3AE5">
        <w:rPr>
          <w:rFonts w:cs="Arial"/>
          <w:color w:val="000000"/>
        </w:rPr>
        <w:t>PSIAS</w:t>
      </w:r>
      <w:r w:rsidRPr="00A561D0">
        <w:rPr>
          <w:rFonts w:cs="Arial"/>
          <w:color w:val="000000"/>
        </w:rPr>
        <w:t xml:space="preserve"> </w:t>
      </w:r>
      <w:r>
        <w:rPr>
          <w:rFonts w:cs="Arial"/>
          <w:color w:val="000000"/>
        </w:rPr>
        <w:t xml:space="preserve">and </w:t>
      </w:r>
      <w:r w:rsidRPr="00A561D0">
        <w:rPr>
          <w:rFonts w:cs="Arial"/>
          <w:color w:val="000000"/>
        </w:rPr>
        <w:t>are regularly reviewed. Every auditor in the team is required to comply with the</w:t>
      </w:r>
      <w:r>
        <w:rPr>
          <w:rFonts w:cs="Arial"/>
          <w:color w:val="000000"/>
        </w:rPr>
        <w:t>se</w:t>
      </w:r>
      <w:r w:rsidRPr="00A561D0">
        <w:rPr>
          <w:rFonts w:cs="Arial"/>
          <w:color w:val="000000"/>
        </w:rPr>
        <w:t xml:space="preserve"> or </w:t>
      </w:r>
      <w:r>
        <w:rPr>
          <w:rFonts w:cs="Arial"/>
          <w:color w:val="000000"/>
        </w:rPr>
        <w:t>document</w:t>
      </w:r>
      <w:r w:rsidRPr="00A561D0">
        <w:rPr>
          <w:rFonts w:cs="Arial"/>
          <w:color w:val="000000"/>
        </w:rPr>
        <w:t xml:space="preserve"> the reasons why not, and to demonstrate this compliance </w:t>
      </w:r>
      <w:r>
        <w:rPr>
          <w:rFonts w:cs="Arial"/>
          <w:color w:val="000000"/>
        </w:rPr>
        <w:t>o</w:t>
      </w:r>
      <w:r w:rsidRPr="00A561D0">
        <w:rPr>
          <w:rFonts w:cs="Arial"/>
          <w:color w:val="000000"/>
        </w:rPr>
        <w:t>n every audit</w:t>
      </w:r>
      <w:r>
        <w:rPr>
          <w:rFonts w:cs="Arial"/>
          <w:color w:val="000000"/>
        </w:rPr>
        <w:t xml:space="preserve"> assignment</w:t>
      </w:r>
      <w:r>
        <w:rPr>
          <w:rFonts w:cs="Arial"/>
        </w:rPr>
        <w:t xml:space="preserve">. The audit managers assess the quality of each audit concurrently as it progresses, and during the year a </w:t>
      </w:r>
      <w:r w:rsidRPr="006F640F">
        <w:rPr>
          <w:rFonts w:cs="Arial"/>
        </w:rPr>
        <w:t xml:space="preserve">post-audit file review processes </w:t>
      </w:r>
      <w:r>
        <w:rPr>
          <w:rFonts w:cs="Arial"/>
        </w:rPr>
        <w:t xml:space="preserve">was also </w:t>
      </w:r>
      <w:r w:rsidRPr="006F640F">
        <w:rPr>
          <w:rFonts w:cs="Arial"/>
        </w:rPr>
        <w:t xml:space="preserve">set out to test conformance with </w:t>
      </w:r>
      <w:r>
        <w:rPr>
          <w:rFonts w:cs="Arial"/>
        </w:rPr>
        <w:t xml:space="preserve">the service's </w:t>
      </w:r>
      <w:r w:rsidRPr="006F640F">
        <w:rPr>
          <w:rFonts w:cs="Arial"/>
        </w:rPr>
        <w:t>working practices and the quality of work undertaken.</w:t>
      </w:r>
      <w:r>
        <w:rPr>
          <w:rFonts w:cs="Arial"/>
        </w:rPr>
        <w:t xml:space="preserve"> The first post-audit file reviews were undertaken during February 2018 and they indicate that </w:t>
      </w:r>
      <w:r>
        <w:t>there is good evidence of compliance with our audit methodology and input from the audit managers to support the work of the auditors, although s</w:t>
      </w:r>
      <w:r>
        <w:rPr>
          <w:rFonts w:cs="Arial"/>
        </w:rPr>
        <w:t>ome learning points have been drawn out and shared with the team.</w:t>
      </w:r>
    </w:p>
    <w:bookmarkEnd w:id="2"/>
    <w:bookmarkEnd w:id="3"/>
    <w:p w:rsidR="001E1FCB" w:rsidRDefault="006E2E49" w:rsidP="002553D0">
      <w:pPr>
        <w:spacing w:before="120" w:after="120"/>
      </w:pPr>
    </w:p>
    <w:p w:rsidR="002553D0" w:rsidRDefault="006E2E49" w:rsidP="002553D0">
      <w:pPr>
        <w:spacing w:before="120" w:after="120"/>
        <w:sectPr w:rsidR="002553D0" w:rsidSect="001E1FCB">
          <w:headerReference w:type="default" r:id="rId10"/>
          <w:footerReference w:type="default" r:id="rId11"/>
          <w:headerReference w:type="first" r:id="rId12"/>
          <w:pgSz w:w="11907" w:h="16840" w:code="9"/>
          <w:pgMar w:top="1797" w:right="1417" w:bottom="1134" w:left="1418" w:header="709" w:footer="596" w:gutter="0"/>
          <w:pgNumType w:start="1"/>
          <w:cols w:space="708"/>
          <w:titlePg/>
          <w:docGrid w:linePitch="360"/>
        </w:sectPr>
      </w:pPr>
    </w:p>
    <w:p w:rsidR="001E1FCB" w:rsidRDefault="005E1D76" w:rsidP="001E1FCB">
      <w:pPr>
        <w:pStyle w:val="BodyText"/>
        <w:numPr>
          <w:ilvl w:val="0"/>
          <w:numId w:val="2"/>
        </w:numPr>
        <w:spacing w:before="240" w:after="120"/>
        <w:rPr>
          <w:b/>
          <w:sz w:val="28"/>
          <w:szCs w:val="28"/>
        </w:rPr>
      </w:pPr>
      <w:r w:rsidRPr="00184D55">
        <w:rPr>
          <w:b/>
          <w:sz w:val="28"/>
          <w:szCs w:val="28"/>
        </w:rPr>
        <w:t>Audit assurance levels</w:t>
      </w:r>
      <w:r>
        <w:rPr>
          <w:b/>
          <w:sz w:val="28"/>
          <w:szCs w:val="28"/>
        </w:rPr>
        <w:t xml:space="preserve"> and classi</w:t>
      </w:r>
      <w:bookmarkStart w:id="5" w:name="_GoBack"/>
      <w:bookmarkEnd w:id="5"/>
      <w:r>
        <w:rPr>
          <w:b/>
          <w:sz w:val="28"/>
          <w:szCs w:val="28"/>
        </w:rPr>
        <w:t>fication of residual risks</w:t>
      </w:r>
    </w:p>
    <w:p w:rsidR="00530A9F" w:rsidRPr="00530A9F" w:rsidRDefault="005E1D76" w:rsidP="00530A9F">
      <w:pPr>
        <w:spacing w:before="360" w:after="120"/>
        <w:rPr>
          <w:rFonts w:cs="Arial"/>
          <w:b/>
          <w:sz w:val="28"/>
          <w:szCs w:val="28"/>
        </w:rPr>
      </w:pPr>
      <w:r w:rsidRPr="00530A9F">
        <w:rPr>
          <w:rFonts w:cs="Arial"/>
        </w:rPr>
        <w:t xml:space="preserve">Please note that these definitions </w:t>
      </w:r>
      <w:r>
        <w:rPr>
          <w:rFonts w:cs="Arial"/>
        </w:rPr>
        <w:t xml:space="preserve">have been </w:t>
      </w:r>
      <w:r w:rsidRPr="00530A9F">
        <w:rPr>
          <w:rFonts w:cs="Arial"/>
        </w:rPr>
        <w:t>review</w:t>
      </w:r>
      <w:r>
        <w:rPr>
          <w:rFonts w:cs="Arial"/>
        </w:rPr>
        <w:t>ed</w:t>
      </w:r>
      <w:r w:rsidRPr="00530A9F">
        <w:rPr>
          <w:rFonts w:cs="Arial"/>
        </w:rPr>
        <w:t xml:space="preserve"> and will be </w:t>
      </w:r>
      <w:r>
        <w:rPr>
          <w:rFonts w:cs="Arial"/>
        </w:rPr>
        <w:t>revised</w:t>
      </w:r>
      <w:r w:rsidRPr="00530A9F">
        <w:rPr>
          <w:rFonts w:cs="Arial"/>
        </w:rPr>
        <w:t xml:space="preserve"> for 2018/19.</w:t>
      </w:r>
    </w:p>
    <w:p w:rsidR="001E1FCB" w:rsidRPr="00184D55" w:rsidRDefault="005E1D76" w:rsidP="001E1FCB">
      <w:pPr>
        <w:tabs>
          <w:tab w:val="left" w:pos="284"/>
        </w:tabs>
        <w:spacing w:before="240" w:after="120"/>
        <w:rPr>
          <w:b/>
          <w:sz w:val="28"/>
          <w:szCs w:val="28"/>
        </w:rPr>
      </w:pPr>
      <w:r>
        <w:rPr>
          <w:b/>
          <w:sz w:val="28"/>
          <w:szCs w:val="28"/>
        </w:rPr>
        <w:t>Audit assurance</w:t>
      </w:r>
    </w:p>
    <w:p w:rsidR="001E1FCB" w:rsidRDefault="005E1D76" w:rsidP="001E1FCB">
      <w:pPr>
        <w:spacing w:before="120" w:after="120"/>
      </w:pPr>
      <w:r w:rsidRPr="00184D55">
        <w:rPr>
          <w:b/>
        </w:rPr>
        <w:t>Full assurance</w:t>
      </w:r>
      <w:r>
        <w:t>:</w:t>
      </w:r>
      <w:r w:rsidRPr="00282F4A">
        <w:t xml:space="preserve"> there is a sound system of internal control which is designed to meet </w:t>
      </w:r>
      <w:r>
        <w:t xml:space="preserve">the service </w:t>
      </w:r>
      <w:r w:rsidRPr="00282F4A">
        <w:t>objectives and controls are being consistently applied</w:t>
      </w:r>
      <w:r>
        <w:t>.</w:t>
      </w:r>
    </w:p>
    <w:p w:rsidR="001E1FCB" w:rsidRDefault="005E1D76" w:rsidP="001E1FCB">
      <w:pPr>
        <w:spacing w:before="120" w:after="120"/>
      </w:pPr>
      <w:r>
        <w:rPr>
          <w:b/>
        </w:rPr>
        <w:t>Substantial</w:t>
      </w:r>
      <w:r w:rsidRPr="00184D55">
        <w:rPr>
          <w:b/>
        </w:rPr>
        <w:t xml:space="preserve"> assurance</w:t>
      </w:r>
      <w:r>
        <w:t>:</w:t>
      </w:r>
      <w:r w:rsidRPr="00282F4A">
        <w:t xml:space="preserve"> there is a generally sound system of internal control, designed to meet the </w:t>
      </w:r>
      <w:r>
        <w:t xml:space="preserve">service </w:t>
      </w:r>
      <w:r w:rsidRPr="00282F4A">
        <w:t>objectives, and controls are generally bein</w:t>
      </w:r>
      <w:r>
        <w:t>g applied consistently. However</w:t>
      </w:r>
      <w:r w:rsidRPr="00282F4A">
        <w:t xml:space="preserve"> some weakness in the design and/</w:t>
      </w:r>
      <w:r>
        <w:t xml:space="preserve"> </w:t>
      </w:r>
      <w:r w:rsidRPr="00282F4A">
        <w:t>or inconsistent application of controls put the achievement o</w:t>
      </w:r>
      <w:r>
        <w:t>f particular objectives at risk.</w:t>
      </w:r>
      <w:r w:rsidRPr="00282F4A">
        <w:t xml:space="preserve"> </w:t>
      </w:r>
    </w:p>
    <w:p w:rsidR="001E1FCB" w:rsidRDefault="005E1D76" w:rsidP="001E1FCB">
      <w:pPr>
        <w:spacing w:before="120" w:after="120"/>
      </w:pPr>
      <w:r w:rsidRPr="00184D55">
        <w:rPr>
          <w:b/>
        </w:rPr>
        <w:t>Limited assurance</w:t>
      </w:r>
      <w:r>
        <w:t>: weaknesses in the design</w:t>
      </w:r>
      <w:r w:rsidRPr="00282F4A">
        <w:t xml:space="preserve"> and/</w:t>
      </w:r>
      <w:r>
        <w:t xml:space="preserve"> </w:t>
      </w:r>
      <w:r w:rsidRPr="00282F4A">
        <w:t>or incon</w:t>
      </w:r>
      <w:r>
        <w:t>sistent application of controls</w:t>
      </w:r>
      <w:r w:rsidRPr="00282F4A">
        <w:t xml:space="preserve"> put the achievement of the </w:t>
      </w:r>
      <w:r>
        <w:t xml:space="preserve">service </w:t>
      </w:r>
      <w:r w:rsidRPr="00282F4A">
        <w:t>objectives at risk</w:t>
      </w:r>
      <w:r>
        <w:t>.</w:t>
      </w:r>
    </w:p>
    <w:p w:rsidR="001E1FCB" w:rsidRDefault="005E1D76" w:rsidP="001E1FCB">
      <w:pPr>
        <w:spacing w:before="120" w:after="120"/>
      </w:pPr>
      <w:r w:rsidRPr="00184D55">
        <w:rPr>
          <w:b/>
        </w:rPr>
        <w:t>No assurance</w:t>
      </w:r>
      <w:r>
        <w:t>:</w:t>
      </w:r>
      <w:r w:rsidRPr="00282F4A">
        <w:t xml:space="preserve"> weaknesses in control</w:t>
      </w:r>
      <w:r>
        <w:t xml:space="preserve"> </w:t>
      </w:r>
      <w:r w:rsidRPr="00282F4A">
        <w:t>and/</w:t>
      </w:r>
      <w:r>
        <w:t xml:space="preserve"> </w:t>
      </w:r>
      <w:r w:rsidRPr="00282F4A">
        <w:t xml:space="preserve">or consistent non-compliance with controls could result/ </w:t>
      </w:r>
      <w:r>
        <w:t>have</w:t>
      </w:r>
      <w:r w:rsidRPr="00282F4A">
        <w:t xml:space="preserve"> resulted in failure to achieve the </w:t>
      </w:r>
      <w:r>
        <w:t xml:space="preserve">service </w:t>
      </w:r>
      <w:r w:rsidRPr="00282F4A">
        <w:t>objectives.</w:t>
      </w:r>
    </w:p>
    <w:p w:rsidR="001E1FCB" w:rsidRPr="00184D55" w:rsidRDefault="005E1D76" w:rsidP="001E1FCB">
      <w:pPr>
        <w:tabs>
          <w:tab w:val="left" w:pos="284"/>
        </w:tabs>
        <w:spacing w:before="240" w:after="120"/>
        <w:rPr>
          <w:b/>
          <w:sz w:val="28"/>
          <w:szCs w:val="28"/>
        </w:rPr>
      </w:pPr>
      <w:r>
        <w:rPr>
          <w:b/>
          <w:sz w:val="28"/>
          <w:szCs w:val="28"/>
        </w:rPr>
        <w:t>C</w:t>
      </w:r>
      <w:r w:rsidRPr="00184D55">
        <w:rPr>
          <w:b/>
          <w:sz w:val="28"/>
          <w:szCs w:val="28"/>
        </w:rPr>
        <w:t xml:space="preserve">lassification </w:t>
      </w:r>
      <w:r>
        <w:rPr>
          <w:b/>
          <w:sz w:val="28"/>
          <w:szCs w:val="28"/>
        </w:rPr>
        <w:t>of residual risks requiring management action</w:t>
      </w:r>
      <w:r w:rsidRPr="00184D55">
        <w:rPr>
          <w:b/>
          <w:sz w:val="28"/>
          <w:szCs w:val="28"/>
        </w:rPr>
        <w:t xml:space="preserve"> </w:t>
      </w:r>
    </w:p>
    <w:p w:rsidR="001E1FCB" w:rsidRDefault="005E1D76" w:rsidP="001E1FCB">
      <w:pPr>
        <w:tabs>
          <w:tab w:val="left" w:pos="284"/>
        </w:tabs>
        <w:spacing w:before="120" w:after="120"/>
        <w:rPr>
          <w:rFonts w:cs="Arial"/>
          <w:bCs/>
        </w:rPr>
      </w:pPr>
      <w:r w:rsidRPr="00C146BB">
        <w:rPr>
          <w:rFonts w:cs="Arial"/>
          <w:bCs/>
        </w:rPr>
        <w:t xml:space="preserve">All </w:t>
      </w:r>
      <w:r>
        <w:rPr>
          <w:rFonts w:cs="Arial"/>
          <w:bCs/>
        </w:rPr>
        <w:t xml:space="preserve">actions agreed with management </w:t>
      </w:r>
      <w:r w:rsidRPr="00C146BB">
        <w:rPr>
          <w:rFonts w:cs="Arial"/>
          <w:bCs/>
        </w:rPr>
        <w:t xml:space="preserve">are </w:t>
      </w:r>
      <w:r>
        <w:rPr>
          <w:rFonts w:cs="Arial"/>
          <w:bCs/>
        </w:rPr>
        <w:t>stated</w:t>
      </w:r>
      <w:r w:rsidRPr="00C146BB">
        <w:rPr>
          <w:rFonts w:cs="Arial"/>
          <w:bCs/>
        </w:rPr>
        <w:t xml:space="preserve"> in terms of the residual risk they are designed to mitigate.</w:t>
      </w:r>
    </w:p>
    <w:p w:rsidR="001E1FCB" w:rsidRPr="00FD4590" w:rsidRDefault="005E1D76" w:rsidP="001E1FCB">
      <w:pPr>
        <w:spacing w:before="120" w:after="120"/>
        <w:rPr>
          <w:rFonts w:cs="Arial"/>
          <w:b/>
          <w:bCs/>
          <w:i/>
        </w:rPr>
      </w:pPr>
      <w:r w:rsidRPr="00FD4590">
        <w:rPr>
          <w:rFonts w:cs="Arial"/>
          <w:b/>
          <w:bCs/>
        </w:rPr>
        <w:t>Extre</w:t>
      </w:r>
      <w:r>
        <w:rPr>
          <w:rFonts w:cs="Arial"/>
          <w:b/>
          <w:bCs/>
        </w:rPr>
        <w:t>me residual risk</w:t>
      </w:r>
      <w:r>
        <w:t xml:space="preserve">: Critical and urgent in that failure to address the risk could lead to one or more of the following occurring: catastrophic loss of the county council's services, loss of life, significant environmental damage or huge financial loss, with related national press coverage and substantial damage to the council's reputation. </w:t>
      </w:r>
      <w:r w:rsidRPr="00FD4590">
        <w:rPr>
          <w:i/>
        </w:rPr>
        <w:t>Remedial action must be taken immediately.</w:t>
      </w:r>
    </w:p>
    <w:p w:rsidR="001E1FCB" w:rsidRDefault="005E1D76" w:rsidP="001E1FCB">
      <w:pPr>
        <w:spacing w:before="120" w:after="120"/>
      </w:pPr>
      <w:r w:rsidRPr="00184D55">
        <w:rPr>
          <w:rFonts w:cs="Arial"/>
          <w:b/>
          <w:bCs/>
        </w:rPr>
        <w:t>High residual risk</w:t>
      </w:r>
      <w:r w:rsidRPr="00184D55">
        <w:rPr>
          <w:rFonts w:cs="Arial"/>
          <w:bCs/>
        </w:rPr>
        <w:t>:</w:t>
      </w:r>
      <w:r>
        <w:rPr>
          <w:rFonts w:cs="Arial"/>
          <w:b/>
          <w:bCs/>
        </w:rPr>
        <w:t xml:space="preserve"> </w:t>
      </w:r>
      <w:r>
        <w:t xml:space="preserve">Critical in that failure to address the issue or progress the work would lead to one or more of the following occurring: failure to achieve organisational objectives, disruption to the business, financial loss, fraud, inefficient use of resources, failure to comply with law or regulations, or damage to the council's reputation.  </w:t>
      </w:r>
      <w:r>
        <w:rPr>
          <w:i/>
        </w:rPr>
        <w:t>Remedial action must be taken urgently</w:t>
      </w:r>
      <w:r>
        <w:t>.</w:t>
      </w:r>
    </w:p>
    <w:p w:rsidR="001E1FCB" w:rsidRDefault="005E1D76" w:rsidP="001E1FCB">
      <w:pPr>
        <w:spacing w:before="120" w:after="120"/>
      </w:pPr>
      <w:r w:rsidRPr="00184D55">
        <w:rPr>
          <w:rFonts w:cs="Arial"/>
          <w:b/>
          <w:bCs/>
        </w:rPr>
        <w:t>Medium residual risk</w:t>
      </w:r>
      <w:r w:rsidRPr="00184D55">
        <w:rPr>
          <w:rFonts w:cs="Arial"/>
          <w:bCs/>
        </w:rPr>
        <w:t>:</w:t>
      </w:r>
      <w:r>
        <w:rPr>
          <w:rFonts w:cs="Arial"/>
          <w:bCs/>
        </w:rPr>
        <w:t xml:space="preserve"> </w:t>
      </w:r>
      <w:r>
        <w:t xml:space="preserve">Less critical, but failure to address the issue or progress the work could impact on operational objectives and should be of concern to senior management. </w:t>
      </w:r>
      <w:r>
        <w:rPr>
          <w:i/>
        </w:rPr>
        <w:t>Prompt specific action should be taken</w:t>
      </w:r>
      <w:r>
        <w:t>. </w:t>
      </w:r>
    </w:p>
    <w:p w:rsidR="005E1D76" w:rsidRDefault="005E1D76" w:rsidP="00193D6A">
      <w:pPr>
        <w:tabs>
          <w:tab w:val="left" w:pos="284"/>
        </w:tabs>
        <w:spacing w:before="120" w:after="120"/>
        <w:rPr>
          <w:rFonts w:cs="Arial"/>
          <w:bCs/>
        </w:rPr>
      </w:pPr>
      <w:r w:rsidRPr="00184D55">
        <w:rPr>
          <w:rFonts w:cs="Arial"/>
          <w:b/>
          <w:bCs/>
        </w:rPr>
        <w:t>Low residual ris</w:t>
      </w:r>
      <w:r>
        <w:rPr>
          <w:rFonts w:cs="Arial"/>
          <w:b/>
          <w:bCs/>
        </w:rPr>
        <w:t>k</w:t>
      </w:r>
      <w:r w:rsidRPr="00184D55">
        <w:rPr>
          <w:rFonts w:cs="Arial"/>
          <w:bCs/>
        </w:rPr>
        <w:t>:</w:t>
      </w:r>
      <w:r>
        <w:rPr>
          <w:rFonts w:cs="Arial"/>
          <w:b/>
          <w:bCs/>
        </w:rPr>
        <w:t xml:space="preserve"> </w:t>
      </w:r>
      <w:r>
        <w:t>Areas that individually have no major impact on achieving the service objectives or on the work programme, but where combined with others could</w:t>
      </w:r>
      <w:r w:rsidRPr="006B1FE4">
        <w:rPr>
          <w:rFonts w:cs="Arial"/>
        </w:rPr>
        <w:t xml:space="preserve"> give cause for concern. </w:t>
      </w:r>
      <w:r>
        <w:rPr>
          <w:rFonts w:cs="Arial"/>
          <w:bCs/>
          <w:i/>
          <w:iCs/>
        </w:rPr>
        <w:t>Specific remedial action is desirable</w:t>
      </w:r>
      <w:r>
        <w:rPr>
          <w:rFonts w:cs="Arial"/>
          <w:bCs/>
          <w:iCs/>
        </w:rPr>
        <w:t>.</w:t>
      </w:r>
    </w:p>
    <w:p w:rsidR="005E1D76" w:rsidRDefault="005E1D76" w:rsidP="005E1D76">
      <w:pPr>
        <w:rPr>
          <w:rFonts w:cs="Arial"/>
        </w:rPr>
      </w:pPr>
    </w:p>
    <w:p w:rsidR="00013433" w:rsidRDefault="006E2E49" w:rsidP="00193D6A">
      <w:pPr>
        <w:pStyle w:val="BodyText"/>
        <w:spacing w:before="240" w:after="120"/>
        <w:ind w:left="851"/>
      </w:pPr>
    </w:p>
    <w:sectPr w:rsidR="00013433" w:rsidSect="00921BEC">
      <w:headerReference w:type="default" r:id="rId13"/>
      <w:footerReference w:type="default" r:id="rId14"/>
      <w:pgSz w:w="11907" w:h="16840" w:code="9"/>
      <w:pgMar w:top="1702" w:right="1134" w:bottom="1077" w:left="1702" w:header="709" w:footer="59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D09" w:rsidRDefault="005E1D76">
      <w:pPr>
        <w:spacing w:before="0" w:after="0"/>
      </w:pPr>
      <w:r>
        <w:separator/>
      </w:r>
    </w:p>
  </w:endnote>
  <w:endnote w:type="continuationSeparator" w:id="0">
    <w:p w:rsidR="00603D09" w:rsidRDefault="005E1D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4CD" w:rsidRPr="002725CE" w:rsidRDefault="006E2E49">
    <w:pPr>
      <w:pStyle w:val="Footer"/>
      <w:framePr w:wrap="around" w:vAnchor="text" w:hAnchor="page" w:x="6118" w:y="202"/>
      <w:rPr>
        <w:rStyle w:val="PageNumber"/>
        <w:rFonts w:cs="Arial"/>
      </w:rPr>
    </w:pPr>
  </w:p>
  <w:p w:rsidR="006B64CD" w:rsidRDefault="006E2E49" w:rsidP="001E1FCB">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4CD" w:rsidRPr="00864640" w:rsidRDefault="006E2E49" w:rsidP="001E1FC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D09" w:rsidRDefault="005E1D76">
      <w:pPr>
        <w:spacing w:before="0" w:after="0"/>
      </w:pPr>
      <w:r>
        <w:separator/>
      </w:r>
    </w:p>
  </w:footnote>
  <w:footnote w:type="continuationSeparator" w:id="0">
    <w:p w:rsidR="00603D09" w:rsidRDefault="005E1D7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4CD" w:rsidRPr="008816D0" w:rsidRDefault="005E1D76" w:rsidP="001E1FCB">
    <w:pPr>
      <w:pStyle w:val="Header"/>
      <w:tabs>
        <w:tab w:val="clear" w:pos="4153"/>
        <w:tab w:val="clear" w:pos="8306"/>
      </w:tabs>
      <w:rPr>
        <w:rFonts w:cs="Arial"/>
      </w:rPr>
    </w:pPr>
    <w:r w:rsidRPr="008816D0">
      <w:rPr>
        <w:rFonts w:cs="Arial"/>
      </w:rPr>
      <w:t xml:space="preserve">Lancashire </w:t>
    </w:r>
    <w:r>
      <w:rPr>
        <w:rFonts w:cs="Arial"/>
      </w:rPr>
      <w:t xml:space="preserve">County Council Internal </w:t>
    </w:r>
    <w:r w:rsidRPr="008816D0">
      <w:rPr>
        <w:rFonts w:cs="Arial"/>
      </w:rPr>
      <w:t>Audit Service</w:t>
    </w:r>
  </w:p>
  <w:p w:rsidR="006B64CD" w:rsidRDefault="005E1D76" w:rsidP="001E1FCB">
    <w:pPr>
      <w:pStyle w:val="Header"/>
      <w:tabs>
        <w:tab w:val="clear" w:pos="4153"/>
        <w:tab w:val="clear" w:pos="8306"/>
      </w:tabs>
      <w:rPr>
        <w:rFonts w:cs="Arial"/>
      </w:rPr>
    </w:pPr>
    <w:r w:rsidRPr="008816D0">
      <w:rPr>
        <w:rFonts w:cs="Arial"/>
      </w:rPr>
      <w:t xml:space="preserve">Annual report </w:t>
    </w:r>
    <w:r>
      <w:rPr>
        <w:rFonts w:cs="Arial"/>
      </w:rPr>
      <w:t>for the year ended 31 March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4CD" w:rsidRPr="00577030" w:rsidRDefault="006E2E49" w:rsidP="001E1FCB">
    <w:pPr>
      <w:tabs>
        <w:tab w:val="left" w:pos="284"/>
      </w:tabs>
      <w:jc w:val="right"/>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E49" w:rsidRDefault="005E1D76" w:rsidP="00921BEC">
    <w:pPr>
      <w:pStyle w:val="Header"/>
      <w:tabs>
        <w:tab w:val="clear" w:pos="4153"/>
        <w:tab w:val="clear" w:pos="8306"/>
        <w:tab w:val="right" w:pos="9356"/>
      </w:tabs>
      <w:rPr>
        <w:rFonts w:cs="Arial"/>
      </w:rPr>
    </w:pPr>
    <w:r w:rsidRPr="008816D0">
      <w:rPr>
        <w:rFonts w:cs="Arial"/>
      </w:rPr>
      <w:t xml:space="preserve">Lancashire </w:t>
    </w:r>
    <w:r>
      <w:rPr>
        <w:rFonts w:cs="Arial"/>
      </w:rPr>
      <w:t xml:space="preserve">County Council Internal </w:t>
    </w:r>
    <w:r w:rsidRPr="008816D0">
      <w:rPr>
        <w:rFonts w:cs="Arial"/>
      </w:rPr>
      <w:t>Audit Service</w:t>
    </w:r>
    <w:r>
      <w:rPr>
        <w:rFonts w:cs="Arial"/>
      </w:rPr>
      <w:tab/>
    </w:r>
  </w:p>
  <w:p w:rsidR="006B64CD" w:rsidRDefault="005E1D76" w:rsidP="00921BEC">
    <w:pPr>
      <w:pStyle w:val="Header"/>
      <w:tabs>
        <w:tab w:val="clear" w:pos="4153"/>
        <w:tab w:val="clear" w:pos="8306"/>
        <w:tab w:val="right" w:pos="9356"/>
      </w:tabs>
      <w:rPr>
        <w:rFonts w:cs="Arial"/>
      </w:rPr>
    </w:pPr>
    <w:r w:rsidRPr="008816D0">
      <w:rPr>
        <w:rFonts w:cs="Arial"/>
      </w:rPr>
      <w:t>Annual report for the year ended</w:t>
    </w:r>
    <w:r>
      <w:rPr>
        <w:rFonts w:cs="Arial"/>
      </w:rPr>
      <w:t xml:space="preserve"> 31 March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C4A3EEF"/>
    <w:multiLevelType w:val="multilevel"/>
    <w:tmpl w:val="8B049622"/>
    <w:lvl w:ilvl="0">
      <w:start w:val="1"/>
      <w:numFmt w:val="decimal"/>
      <w:lvlText w:val="%1"/>
      <w:lvlJc w:val="left"/>
      <w:pPr>
        <w:tabs>
          <w:tab w:val="num" w:pos="680"/>
        </w:tabs>
        <w:ind w:left="680" w:hanging="680"/>
      </w:pPr>
      <w:rPr>
        <w:rFonts w:ascii="Arial Bold" w:hAnsi="Arial Bold" w:hint="default"/>
        <w:b/>
        <w:i w:val="0"/>
        <w:sz w:val="24"/>
        <w:szCs w:val="24"/>
      </w:rPr>
    </w:lvl>
    <w:lvl w:ilvl="1">
      <w:start w:val="1"/>
      <w:numFmt w:val="decimal"/>
      <w:lvlText w:val="%1.%2"/>
      <w:lvlJc w:val="left"/>
      <w:pPr>
        <w:tabs>
          <w:tab w:val="num" w:pos="680"/>
        </w:tabs>
        <w:ind w:left="680" w:hanging="680"/>
      </w:pPr>
      <w:rPr>
        <w:rFonts w:ascii="Arial" w:hAnsi="Arial"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1" w15:restartNumberingAfterBreak="0">
    <w:nsid w:val="03A33E84"/>
    <w:multiLevelType w:val="multilevel"/>
    <w:tmpl w:val="9FC82316"/>
    <w:lvl w:ilvl="0">
      <w:start w:val="1"/>
      <w:numFmt w:val="upperLetter"/>
      <w:lvlText w:val="%1"/>
      <w:lvlJc w:val="left"/>
      <w:pPr>
        <w:tabs>
          <w:tab w:val="num" w:pos="851"/>
        </w:tabs>
        <w:ind w:left="851" w:hanging="851"/>
      </w:pPr>
      <w:rPr>
        <w:rFonts w:ascii="Arial" w:hAnsi="Arial"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bullet"/>
      <w:lvlText w:val=""/>
      <w:lvlJc w:val="left"/>
      <w:pPr>
        <w:tabs>
          <w:tab w:val="num" w:pos="851"/>
        </w:tabs>
        <w:ind w:left="851" w:hanging="851"/>
      </w:pPr>
      <w:rPr>
        <w:rFonts w:ascii="Symbol" w:hAnsi="Symbol" w:hint="default"/>
        <w:color w:val="auto"/>
        <w:sz w:val="24"/>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 w15:restartNumberingAfterBreak="0">
    <w:nsid w:val="0BAE3156"/>
    <w:multiLevelType w:val="multilevel"/>
    <w:tmpl w:val="41FE2414"/>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3" w15:restartNumberingAfterBreak="0">
    <w:nsid w:val="1B430428"/>
    <w:multiLevelType w:val="hybridMultilevel"/>
    <w:tmpl w:val="8C8EA9C0"/>
    <w:lvl w:ilvl="0" w:tplc="3E745622">
      <w:start w:val="1"/>
      <w:numFmt w:val="bullet"/>
      <w:pStyle w:val="Ruth-bullet"/>
      <w:lvlText w:val=""/>
      <w:lvlJc w:val="left"/>
      <w:pPr>
        <w:ind w:left="720" w:hanging="360"/>
      </w:pPr>
      <w:rPr>
        <w:rFonts w:ascii="Symbol" w:hAnsi="Symbol" w:hint="default"/>
      </w:rPr>
    </w:lvl>
    <w:lvl w:ilvl="1" w:tplc="EA2C41F0" w:tentative="1">
      <w:start w:val="1"/>
      <w:numFmt w:val="bullet"/>
      <w:lvlText w:val="o"/>
      <w:lvlJc w:val="left"/>
      <w:pPr>
        <w:ind w:left="1440" w:hanging="360"/>
      </w:pPr>
      <w:rPr>
        <w:rFonts w:ascii="Courier New" w:hAnsi="Courier New" w:hint="default"/>
      </w:rPr>
    </w:lvl>
    <w:lvl w:ilvl="2" w:tplc="E7F672C2" w:tentative="1">
      <w:start w:val="1"/>
      <w:numFmt w:val="bullet"/>
      <w:lvlText w:val=""/>
      <w:lvlJc w:val="left"/>
      <w:pPr>
        <w:ind w:left="2160" w:hanging="360"/>
      </w:pPr>
      <w:rPr>
        <w:rFonts w:ascii="Wingdings" w:hAnsi="Wingdings" w:hint="default"/>
      </w:rPr>
    </w:lvl>
    <w:lvl w:ilvl="3" w:tplc="E5B62BA2" w:tentative="1">
      <w:start w:val="1"/>
      <w:numFmt w:val="bullet"/>
      <w:lvlText w:val=""/>
      <w:lvlJc w:val="left"/>
      <w:pPr>
        <w:ind w:left="2880" w:hanging="360"/>
      </w:pPr>
      <w:rPr>
        <w:rFonts w:ascii="Symbol" w:hAnsi="Symbol" w:hint="default"/>
      </w:rPr>
    </w:lvl>
    <w:lvl w:ilvl="4" w:tplc="4C441B76" w:tentative="1">
      <w:start w:val="1"/>
      <w:numFmt w:val="bullet"/>
      <w:lvlText w:val="o"/>
      <w:lvlJc w:val="left"/>
      <w:pPr>
        <w:ind w:left="3600" w:hanging="360"/>
      </w:pPr>
      <w:rPr>
        <w:rFonts w:ascii="Courier New" w:hAnsi="Courier New" w:hint="default"/>
      </w:rPr>
    </w:lvl>
    <w:lvl w:ilvl="5" w:tplc="DA9052FA" w:tentative="1">
      <w:start w:val="1"/>
      <w:numFmt w:val="bullet"/>
      <w:lvlText w:val=""/>
      <w:lvlJc w:val="left"/>
      <w:pPr>
        <w:ind w:left="4320" w:hanging="360"/>
      </w:pPr>
      <w:rPr>
        <w:rFonts w:ascii="Wingdings" w:hAnsi="Wingdings" w:hint="default"/>
      </w:rPr>
    </w:lvl>
    <w:lvl w:ilvl="6" w:tplc="C388CD5A" w:tentative="1">
      <w:start w:val="1"/>
      <w:numFmt w:val="bullet"/>
      <w:lvlText w:val=""/>
      <w:lvlJc w:val="left"/>
      <w:pPr>
        <w:ind w:left="5040" w:hanging="360"/>
      </w:pPr>
      <w:rPr>
        <w:rFonts w:ascii="Symbol" w:hAnsi="Symbol" w:hint="default"/>
      </w:rPr>
    </w:lvl>
    <w:lvl w:ilvl="7" w:tplc="6E7AA6A4" w:tentative="1">
      <w:start w:val="1"/>
      <w:numFmt w:val="bullet"/>
      <w:lvlText w:val="o"/>
      <w:lvlJc w:val="left"/>
      <w:pPr>
        <w:ind w:left="5760" w:hanging="360"/>
      </w:pPr>
      <w:rPr>
        <w:rFonts w:ascii="Courier New" w:hAnsi="Courier New" w:hint="default"/>
      </w:rPr>
    </w:lvl>
    <w:lvl w:ilvl="8" w:tplc="803E6EEA" w:tentative="1">
      <w:start w:val="1"/>
      <w:numFmt w:val="bullet"/>
      <w:lvlText w:val=""/>
      <w:lvlJc w:val="left"/>
      <w:pPr>
        <w:ind w:left="6480" w:hanging="360"/>
      </w:pPr>
      <w:rPr>
        <w:rFonts w:ascii="Wingdings" w:hAnsi="Wingdings" w:hint="default"/>
      </w:rPr>
    </w:lvl>
  </w:abstractNum>
  <w:abstractNum w:abstractNumId="4" w15:restartNumberingAfterBreak="0">
    <w:nsid w:val="1EB6748B"/>
    <w:multiLevelType w:val="multilevel"/>
    <w:tmpl w:val="BA48126C"/>
    <w:lvl w:ilvl="0">
      <w:start w:val="1"/>
      <w:numFmt w:val="decimal"/>
      <w:pStyle w:val="Ruthsheader"/>
      <w:lvlText w:val="%1."/>
      <w:lvlJc w:val="left"/>
      <w:pPr>
        <w:ind w:left="360" w:hanging="360"/>
      </w:pPr>
    </w:lvl>
    <w:lvl w:ilvl="1">
      <w:start w:val="1"/>
      <w:numFmt w:val="decimal"/>
      <w:pStyle w:val="Ruthsnumbered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CE6C66"/>
    <w:multiLevelType w:val="hybridMultilevel"/>
    <w:tmpl w:val="86EEF170"/>
    <w:lvl w:ilvl="0" w:tplc="A0CC4392">
      <w:start w:val="1"/>
      <w:numFmt w:val="bullet"/>
      <w:lvlText w:val=""/>
      <w:lvlJc w:val="left"/>
      <w:pPr>
        <w:ind w:left="1571" w:hanging="360"/>
      </w:pPr>
      <w:rPr>
        <w:rFonts w:ascii="Symbol" w:hAnsi="Symbol" w:hint="default"/>
      </w:rPr>
    </w:lvl>
    <w:lvl w:ilvl="1" w:tplc="970E6F7A" w:tentative="1">
      <w:start w:val="1"/>
      <w:numFmt w:val="bullet"/>
      <w:lvlText w:val="o"/>
      <w:lvlJc w:val="left"/>
      <w:pPr>
        <w:ind w:left="2291" w:hanging="360"/>
      </w:pPr>
      <w:rPr>
        <w:rFonts w:ascii="Courier New" w:hAnsi="Courier New" w:cs="Courier New" w:hint="default"/>
      </w:rPr>
    </w:lvl>
    <w:lvl w:ilvl="2" w:tplc="02A6EF50" w:tentative="1">
      <w:start w:val="1"/>
      <w:numFmt w:val="bullet"/>
      <w:lvlText w:val=""/>
      <w:lvlJc w:val="left"/>
      <w:pPr>
        <w:ind w:left="3011" w:hanging="360"/>
      </w:pPr>
      <w:rPr>
        <w:rFonts w:ascii="Wingdings" w:hAnsi="Wingdings" w:hint="default"/>
      </w:rPr>
    </w:lvl>
    <w:lvl w:ilvl="3" w:tplc="8FF2B7E0" w:tentative="1">
      <w:start w:val="1"/>
      <w:numFmt w:val="bullet"/>
      <w:lvlText w:val=""/>
      <w:lvlJc w:val="left"/>
      <w:pPr>
        <w:ind w:left="3731" w:hanging="360"/>
      </w:pPr>
      <w:rPr>
        <w:rFonts w:ascii="Symbol" w:hAnsi="Symbol" w:hint="default"/>
      </w:rPr>
    </w:lvl>
    <w:lvl w:ilvl="4" w:tplc="B15CC9AA" w:tentative="1">
      <w:start w:val="1"/>
      <w:numFmt w:val="bullet"/>
      <w:lvlText w:val="o"/>
      <w:lvlJc w:val="left"/>
      <w:pPr>
        <w:ind w:left="4451" w:hanging="360"/>
      </w:pPr>
      <w:rPr>
        <w:rFonts w:ascii="Courier New" w:hAnsi="Courier New" w:cs="Courier New" w:hint="default"/>
      </w:rPr>
    </w:lvl>
    <w:lvl w:ilvl="5" w:tplc="1E0C3574" w:tentative="1">
      <w:start w:val="1"/>
      <w:numFmt w:val="bullet"/>
      <w:lvlText w:val=""/>
      <w:lvlJc w:val="left"/>
      <w:pPr>
        <w:ind w:left="5171" w:hanging="360"/>
      </w:pPr>
      <w:rPr>
        <w:rFonts w:ascii="Wingdings" w:hAnsi="Wingdings" w:hint="default"/>
      </w:rPr>
    </w:lvl>
    <w:lvl w:ilvl="6" w:tplc="FC225894" w:tentative="1">
      <w:start w:val="1"/>
      <w:numFmt w:val="bullet"/>
      <w:lvlText w:val=""/>
      <w:lvlJc w:val="left"/>
      <w:pPr>
        <w:ind w:left="5891" w:hanging="360"/>
      </w:pPr>
      <w:rPr>
        <w:rFonts w:ascii="Symbol" w:hAnsi="Symbol" w:hint="default"/>
      </w:rPr>
    </w:lvl>
    <w:lvl w:ilvl="7" w:tplc="8A50BCB8" w:tentative="1">
      <w:start w:val="1"/>
      <w:numFmt w:val="bullet"/>
      <w:lvlText w:val="o"/>
      <w:lvlJc w:val="left"/>
      <w:pPr>
        <w:ind w:left="6611" w:hanging="360"/>
      </w:pPr>
      <w:rPr>
        <w:rFonts w:ascii="Courier New" w:hAnsi="Courier New" w:cs="Courier New" w:hint="default"/>
      </w:rPr>
    </w:lvl>
    <w:lvl w:ilvl="8" w:tplc="60FAE9B4" w:tentative="1">
      <w:start w:val="1"/>
      <w:numFmt w:val="bullet"/>
      <w:lvlText w:val=""/>
      <w:lvlJc w:val="left"/>
      <w:pPr>
        <w:ind w:left="7331" w:hanging="360"/>
      </w:pPr>
      <w:rPr>
        <w:rFonts w:ascii="Wingdings" w:hAnsi="Wingdings" w:hint="default"/>
      </w:rPr>
    </w:lvl>
  </w:abstractNum>
  <w:abstractNum w:abstractNumId="6" w15:restartNumberingAfterBreak="0">
    <w:nsid w:val="3CDC74B4"/>
    <w:multiLevelType w:val="multilevel"/>
    <w:tmpl w:val="71A684E0"/>
    <w:lvl w:ilvl="0">
      <w:start w:val="1"/>
      <w:numFmt w:val="decimal"/>
      <w:pStyle w:val="Ruth-headingnumbered"/>
      <w:lvlText w:val="%1."/>
      <w:lvlJc w:val="left"/>
      <w:pPr>
        <w:ind w:left="360" w:hanging="360"/>
      </w:pPr>
      <w:rPr>
        <w:rFonts w:cs="Times New Roman"/>
      </w:rPr>
    </w:lvl>
    <w:lvl w:ilvl="1">
      <w:start w:val="1"/>
      <w:numFmt w:val="decimal"/>
      <w:pStyle w:val="Ruth-numberedparargraph"/>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52B23514"/>
    <w:multiLevelType w:val="multilevel"/>
    <w:tmpl w:val="B762B1D6"/>
    <w:lvl w:ilvl="0">
      <w:start w:val="1"/>
      <w:numFmt w:val="decimal"/>
      <w:pStyle w:val="ListParagraph"/>
      <w:lvlText w:val="%1"/>
      <w:lvlJc w:val="left"/>
      <w:pPr>
        <w:ind w:left="360" w:hanging="360"/>
      </w:pPr>
      <w:rPr>
        <w:rFonts w:ascii="Arial" w:hAnsi="Arial"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541626B9"/>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9" w15:restartNumberingAfterBreak="0">
    <w:nsid w:val="5A3F7C7B"/>
    <w:multiLevelType w:val="hybridMultilevel"/>
    <w:tmpl w:val="1BE6AD14"/>
    <w:lvl w:ilvl="0" w:tplc="F7F8A4B2">
      <w:start w:val="1"/>
      <w:numFmt w:val="bullet"/>
      <w:lvlText w:val=""/>
      <w:lvlJc w:val="left"/>
      <w:pPr>
        <w:ind w:left="1571" w:hanging="360"/>
      </w:pPr>
      <w:rPr>
        <w:rFonts w:ascii="Symbol" w:hAnsi="Symbol" w:hint="default"/>
      </w:rPr>
    </w:lvl>
    <w:lvl w:ilvl="1" w:tplc="D910D17E" w:tentative="1">
      <w:start w:val="1"/>
      <w:numFmt w:val="bullet"/>
      <w:lvlText w:val="o"/>
      <w:lvlJc w:val="left"/>
      <w:pPr>
        <w:ind w:left="2291" w:hanging="360"/>
      </w:pPr>
      <w:rPr>
        <w:rFonts w:ascii="Courier New" w:hAnsi="Courier New" w:cs="Courier New" w:hint="default"/>
      </w:rPr>
    </w:lvl>
    <w:lvl w:ilvl="2" w:tplc="756C55C4" w:tentative="1">
      <w:start w:val="1"/>
      <w:numFmt w:val="bullet"/>
      <w:lvlText w:val=""/>
      <w:lvlJc w:val="left"/>
      <w:pPr>
        <w:ind w:left="3011" w:hanging="360"/>
      </w:pPr>
      <w:rPr>
        <w:rFonts w:ascii="Wingdings" w:hAnsi="Wingdings" w:hint="default"/>
      </w:rPr>
    </w:lvl>
    <w:lvl w:ilvl="3" w:tplc="9658159E" w:tentative="1">
      <w:start w:val="1"/>
      <w:numFmt w:val="bullet"/>
      <w:lvlText w:val=""/>
      <w:lvlJc w:val="left"/>
      <w:pPr>
        <w:ind w:left="3731" w:hanging="360"/>
      </w:pPr>
      <w:rPr>
        <w:rFonts w:ascii="Symbol" w:hAnsi="Symbol" w:hint="default"/>
      </w:rPr>
    </w:lvl>
    <w:lvl w:ilvl="4" w:tplc="CCB83966" w:tentative="1">
      <w:start w:val="1"/>
      <w:numFmt w:val="bullet"/>
      <w:lvlText w:val="o"/>
      <w:lvlJc w:val="left"/>
      <w:pPr>
        <w:ind w:left="4451" w:hanging="360"/>
      </w:pPr>
      <w:rPr>
        <w:rFonts w:ascii="Courier New" w:hAnsi="Courier New" w:cs="Courier New" w:hint="default"/>
      </w:rPr>
    </w:lvl>
    <w:lvl w:ilvl="5" w:tplc="897CCE34" w:tentative="1">
      <w:start w:val="1"/>
      <w:numFmt w:val="bullet"/>
      <w:lvlText w:val=""/>
      <w:lvlJc w:val="left"/>
      <w:pPr>
        <w:ind w:left="5171" w:hanging="360"/>
      </w:pPr>
      <w:rPr>
        <w:rFonts w:ascii="Wingdings" w:hAnsi="Wingdings" w:hint="default"/>
      </w:rPr>
    </w:lvl>
    <w:lvl w:ilvl="6" w:tplc="2EE8F7AC" w:tentative="1">
      <w:start w:val="1"/>
      <w:numFmt w:val="bullet"/>
      <w:lvlText w:val=""/>
      <w:lvlJc w:val="left"/>
      <w:pPr>
        <w:ind w:left="5891" w:hanging="360"/>
      </w:pPr>
      <w:rPr>
        <w:rFonts w:ascii="Symbol" w:hAnsi="Symbol" w:hint="default"/>
      </w:rPr>
    </w:lvl>
    <w:lvl w:ilvl="7" w:tplc="21C003C6" w:tentative="1">
      <w:start w:val="1"/>
      <w:numFmt w:val="bullet"/>
      <w:lvlText w:val="o"/>
      <w:lvlJc w:val="left"/>
      <w:pPr>
        <w:ind w:left="6611" w:hanging="360"/>
      </w:pPr>
      <w:rPr>
        <w:rFonts w:ascii="Courier New" w:hAnsi="Courier New" w:cs="Courier New" w:hint="default"/>
      </w:rPr>
    </w:lvl>
    <w:lvl w:ilvl="8" w:tplc="2488F3D4" w:tentative="1">
      <w:start w:val="1"/>
      <w:numFmt w:val="bullet"/>
      <w:lvlText w:val=""/>
      <w:lvlJc w:val="left"/>
      <w:pPr>
        <w:ind w:left="7331" w:hanging="360"/>
      </w:pPr>
      <w:rPr>
        <w:rFonts w:ascii="Wingdings" w:hAnsi="Wingdings" w:hint="default"/>
      </w:rPr>
    </w:lvl>
  </w:abstractNum>
  <w:abstractNum w:abstractNumId="10" w15:restartNumberingAfterBreak="0">
    <w:nsid w:val="5B0771DB"/>
    <w:multiLevelType w:val="multilevel"/>
    <w:tmpl w:val="B0EA7440"/>
    <w:lvl w:ilvl="0">
      <w:start w:val="1"/>
      <w:numFmt w:val="decimal"/>
      <w:lvlText w:val="%1"/>
      <w:lvlJc w:val="left"/>
      <w:pPr>
        <w:ind w:left="360" w:hanging="360"/>
      </w:pPr>
      <w:rPr>
        <w:rFonts w:ascii="Arial" w:hAnsi="Arial"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Ruthsbulletpoin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707B015E"/>
    <w:multiLevelType w:val="hybridMultilevel"/>
    <w:tmpl w:val="25348240"/>
    <w:lvl w:ilvl="0" w:tplc="CA6E8372">
      <w:start w:val="1"/>
      <w:numFmt w:val="bullet"/>
      <w:pStyle w:val="Ruthsbullets"/>
      <w:lvlText w:val=""/>
      <w:lvlJc w:val="left"/>
      <w:pPr>
        <w:ind w:left="720" w:hanging="360"/>
      </w:pPr>
      <w:rPr>
        <w:rFonts w:ascii="Symbol" w:hAnsi="Symbol" w:hint="default"/>
      </w:rPr>
    </w:lvl>
    <w:lvl w:ilvl="1" w:tplc="1C541900">
      <w:start w:val="1"/>
      <w:numFmt w:val="bullet"/>
      <w:lvlText w:val="˗"/>
      <w:lvlJc w:val="left"/>
      <w:pPr>
        <w:ind w:left="1440" w:hanging="360"/>
      </w:pPr>
      <w:rPr>
        <w:rFonts w:ascii="Arial" w:hAnsi="Arial" w:hint="default"/>
      </w:rPr>
    </w:lvl>
    <w:lvl w:ilvl="2" w:tplc="5FBC4710" w:tentative="1">
      <w:start w:val="1"/>
      <w:numFmt w:val="bullet"/>
      <w:lvlText w:val=""/>
      <w:lvlJc w:val="left"/>
      <w:pPr>
        <w:ind w:left="2160" w:hanging="360"/>
      </w:pPr>
      <w:rPr>
        <w:rFonts w:ascii="Wingdings" w:hAnsi="Wingdings" w:hint="default"/>
      </w:rPr>
    </w:lvl>
    <w:lvl w:ilvl="3" w:tplc="920A1424" w:tentative="1">
      <w:start w:val="1"/>
      <w:numFmt w:val="bullet"/>
      <w:lvlText w:val=""/>
      <w:lvlJc w:val="left"/>
      <w:pPr>
        <w:ind w:left="2880" w:hanging="360"/>
      </w:pPr>
      <w:rPr>
        <w:rFonts w:ascii="Symbol" w:hAnsi="Symbol" w:hint="default"/>
      </w:rPr>
    </w:lvl>
    <w:lvl w:ilvl="4" w:tplc="033C4CB0" w:tentative="1">
      <w:start w:val="1"/>
      <w:numFmt w:val="bullet"/>
      <w:lvlText w:val="o"/>
      <w:lvlJc w:val="left"/>
      <w:pPr>
        <w:ind w:left="3600" w:hanging="360"/>
      </w:pPr>
      <w:rPr>
        <w:rFonts w:ascii="Courier New" w:hAnsi="Courier New" w:cs="Courier New" w:hint="default"/>
      </w:rPr>
    </w:lvl>
    <w:lvl w:ilvl="5" w:tplc="86BEAFEE" w:tentative="1">
      <w:start w:val="1"/>
      <w:numFmt w:val="bullet"/>
      <w:lvlText w:val=""/>
      <w:lvlJc w:val="left"/>
      <w:pPr>
        <w:ind w:left="4320" w:hanging="360"/>
      </w:pPr>
      <w:rPr>
        <w:rFonts w:ascii="Wingdings" w:hAnsi="Wingdings" w:hint="default"/>
      </w:rPr>
    </w:lvl>
    <w:lvl w:ilvl="6" w:tplc="D794DCE8" w:tentative="1">
      <w:start w:val="1"/>
      <w:numFmt w:val="bullet"/>
      <w:lvlText w:val=""/>
      <w:lvlJc w:val="left"/>
      <w:pPr>
        <w:ind w:left="5040" w:hanging="360"/>
      </w:pPr>
      <w:rPr>
        <w:rFonts w:ascii="Symbol" w:hAnsi="Symbol" w:hint="default"/>
      </w:rPr>
    </w:lvl>
    <w:lvl w:ilvl="7" w:tplc="541C1978" w:tentative="1">
      <w:start w:val="1"/>
      <w:numFmt w:val="bullet"/>
      <w:lvlText w:val="o"/>
      <w:lvlJc w:val="left"/>
      <w:pPr>
        <w:ind w:left="5760" w:hanging="360"/>
      </w:pPr>
      <w:rPr>
        <w:rFonts w:ascii="Courier New" w:hAnsi="Courier New" w:cs="Courier New" w:hint="default"/>
      </w:rPr>
    </w:lvl>
    <w:lvl w:ilvl="8" w:tplc="7FA2D594" w:tentative="1">
      <w:start w:val="1"/>
      <w:numFmt w:val="bullet"/>
      <w:lvlText w:val=""/>
      <w:lvlJc w:val="left"/>
      <w:pPr>
        <w:ind w:left="6480" w:hanging="360"/>
      </w:pPr>
      <w:rPr>
        <w:rFonts w:ascii="Wingdings" w:hAnsi="Wingdings" w:hint="default"/>
      </w:rPr>
    </w:lvl>
  </w:abstractNum>
  <w:abstractNum w:abstractNumId="12" w15:restartNumberingAfterBreak="0">
    <w:nsid w:val="70B21F8D"/>
    <w:multiLevelType w:val="multilevel"/>
    <w:tmpl w:val="E7FC5986"/>
    <w:lvl w:ilvl="0">
      <w:start w:val="1"/>
      <w:numFmt w:val="decimal"/>
      <w:pStyle w:val="Ruthsnumberedheading"/>
      <w:lvlText w:val="%1."/>
      <w:lvlJc w:val="left"/>
      <w:pPr>
        <w:ind w:left="720" w:hanging="72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uthsparagraph"/>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773C0F52"/>
    <w:multiLevelType w:val="hybridMultilevel"/>
    <w:tmpl w:val="0F9E62FC"/>
    <w:lvl w:ilvl="0" w:tplc="29DC409C">
      <w:start w:val="1"/>
      <w:numFmt w:val="bullet"/>
      <w:lvlText w:val=""/>
      <w:lvlJc w:val="left"/>
      <w:pPr>
        <w:ind w:left="1571" w:hanging="360"/>
      </w:pPr>
      <w:rPr>
        <w:rFonts w:ascii="Symbol" w:hAnsi="Symbol" w:hint="default"/>
      </w:rPr>
    </w:lvl>
    <w:lvl w:ilvl="1" w:tplc="2026C3B4" w:tentative="1">
      <w:start w:val="1"/>
      <w:numFmt w:val="bullet"/>
      <w:lvlText w:val="o"/>
      <w:lvlJc w:val="left"/>
      <w:pPr>
        <w:ind w:left="2291" w:hanging="360"/>
      </w:pPr>
      <w:rPr>
        <w:rFonts w:ascii="Courier New" w:hAnsi="Courier New" w:cs="Courier New" w:hint="default"/>
      </w:rPr>
    </w:lvl>
    <w:lvl w:ilvl="2" w:tplc="6DA4C46E" w:tentative="1">
      <w:start w:val="1"/>
      <w:numFmt w:val="bullet"/>
      <w:lvlText w:val=""/>
      <w:lvlJc w:val="left"/>
      <w:pPr>
        <w:ind w:left="3011" w:hanging="360"/>
      </w:pPr>
      <w:rPr>
        <w:rFonts w:ascii="Wingdings" w:hAnsi="Wingdings" w:hint="default"/>
      </w:rPr>
    </w:lvl>
    <w:lvl w:ilvl="3" w:tplc="570A9726" w:tentative="1">
      <w:start w:val="1"/>
      <w:numFmt w:val="bullet"/>
      <w:lvlText w:val=""/>
      <w:lvlJc w:val="left"/>
      <w:pPr>
        <w:ind w:left="3731" w:hanging="360"/>
      </w:pPr>
      <w:rPr>
        <w:rFonts w:ascii="Symbol" w:hAnsi="Symbol" w:hint="default"/>
      </w:rPr>
    </w:lvl>
    <w:lvl w:ilvl="4" w:tplc="38B4C62C" w:tentative="1">
      <w:start w:val="1"/>
      <w:numFmt w:val="bullet"/>
      <w:lvlText w:val="o"/>
      <w:lvlJc w:val="left"/>
      <w:pPr>
        <w:ind w:left="4451" w:hanging="360"/>
      </w:pPr>
      <w:rPr>
        <w:rFonts w:ascii="Courier New" w:hAnsi="Courier New" w:cs="Courier New" w:hint="default"/>
      </w:rPr>
    </w:lvl>
    <w:lvl w:ilvl="5" w:tplc="30BA9EDE" w:tentative="1">
      <w:start w:val="1"/>
      <w:numFmt w:val="bullet"/>
      <w:lvlText w:val=""/>
      <w:lvlJc w:val="left"/>
      <w:pPr>
        <w:ind w:left="5171" w:hanging="360"/>
      </w:pPr>
      <w:rPr>
        <w:rFonts w:ascii="Wingdings" w:hAnsi="Wingdings" w:hint="default"/>
      </w:rPr>
    </w:lvl>
    <w:lvl w:ilvl="6" w:tplc="587E763A" w:tentative="1">
      <w:start w:val="1"/>
      <w:numFmt w:val="bullet"/>
      <w:lvlText w:val=""/>
      <w:lvlJc w:val="left"/>
      <w:pPr>
        <w:ind w:left="5891" w:hanging="360"/>
      </w:pPr>
      <w:rPr>
        <w:rFonts w:ascii="Symbol" w:hAnsi="Symbol" w:hint="default"/>
      </w:rPr>
    </w:lvl>
    <w:lvl w:ilvl="7" w:tplc="2D22CE8A" w:tentative="1">
      <w:start w:val="1"/>
      <w:numFmt w:val="bullet"/>
      <w:lvlText w:val="o"/>
      <w:lvlJc w:val="left"/>
      <w:pPr>
        <w:ind w:left="6611" w:hanging="360"/>
      </w:pPr>
      <w:rPr>
        <w:rFonts w:ascii="Courier New" w:hAnsi="Courier New" w:cs="Courier New" w:hint="default"/>
      </w:rPr>
    </w:lvl>
    <w:lvl w:ilvl="8" w:tplc="09EE6BCA" w:tentative="1">
      <w:start w:val="1"/>
      <w:numFmt w:val="bullet"/>
      <w:lvlText w:val=""/>
      <w:lvlJc w:val="left"/>
      <w:pPr>
        <w:ind w:left="7331" w:hanging="360"/>
      </w:pPr>
      <w:rPr>
        <w:rFonts w:ascii="Wingdings" w:hAnsi="Wingdings" w:hint="default"/>
      </w:rPr>
    </w:lvl>
  </w:abstractNum>
  <w:abstractNum w:abstractNumId="14" w15:restartNumberingAfterBreak="0">
    <w:nsid w:val="7AE2105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482834"/>
    <w:multiLevelType w:val="hybridMultilevel"/>
    <w:tmpl w:val="4C0E2C82"/>
    <w:lvl w:ilvl="0" w:tplc="E6A605C6">
      <w:start w:val="1"/>
      <w:numFmt w:val="bullet"/>
      <w:lvlText w:val=""/>
      <w:lvlJc w:val="left"/>
      <w:pPr>
        <w:ind w:left="1571" w:hanging="360"/>
      </w:pPr>
      <w:rPr>
        <w:rFonts w:ascii="Symbol" w:hAnsi="Symbol" w:hint="default"/>
      </w:rPr>
    </w:lvl>
    <w:lvl w:ilvl="1" w:tplc="CD0A8AAA" w:tentative="1">
      <w:start w:val="1"/>
      <w:numFmt w:val="bullet"/>
      <w:lvlText w:val="o"/>
      <w:lvlJc w:val="left"/>
      <w:pPr>
        <w:ind w:left="2291" w:hanging="360"/>
      </w:pPr>
      <w:rPr>
        <w:rFonts w:ascii="Courier New" w:hAnsi="Courier New" w:cs="Courier New" w:hint="default"/>
      </w:rPr>
    </w:lvl>
    <w:lvl w:ilvl="2" w:tplc="4196893C" w:tentative="1">
      <w:start w:val="1"/>
      <w:numFmt w:val="bullet"/>
      <w:lvlText w:val=""/>
      <w:lvlJc w:val="left"/>
      <w:pPr>
        <w:ind w:left="3011" w:hanging="360"/>
      </w:pPr>
      <w:rPr>
        <w:rFonts w:ascii="Wingdings" w:hAnsi="Wingdings" w:hint="default"/>
      </w:rPr>
    </w:lvl>
    <w:lvl w:ilvl="3" w:tplc="40CA0800" w:tentative="1">
      <w:start w:val="1"/>
      <w:numFmt w:val="bullet"/>
      <w:lvlText w:val=""/>
      <w:lvlJc w:val="left"/>
      <w:pPr>
        <w:ind w:left="3731" w:hanging="360"/>
      </w:pPr>
      <w:rPr>
        <w:rFonts w:ascii="Symbol" w:hAnsi="Symbol" w:hint="default"/>
      </w:rPr>
    </w:lvl>
    <w:lvl w:ilvl="4" w:tplc="2A323E94" w:tentative="1">
      <w:start w:val="1"/>
      <w:numFmt w:val="bullet"/>
      <w:lvlText w:val="o"/>
      <w:lvlJc w:val="left"/>
      <w:pPr>
        <w:ind w:left="4451" w:hanging="360"/>
      </w:pPr>
      <w:rPr>
        <w:rFonts w:ascii="Courier New" w:hAnsi="Courier New" w:cs="Courier New" w:hint="default"/>
      </w:rPr>
    </w:lvl>
    <w:lvl w:ilvl="5" w:tplc="24F8851E" w:tentative="1">
      <w:start w:val="1"/>
      <w:numFmt w:val="bullet"/>
      <w:lvlText w:val=""/>
      <w:lvlJc w:val="left"/>
      <w:pPr>
        <w:ind w:left="5171" w:hanging="360"/>
      </w:pPr>
      <w:rPr>
        <w:rFonts w:ascii="Wingdings" w:hAnsi="Wingdings" w:hint="default"/>
      </w:rPr>
    </w:lvl>
    <w:lvl w:ilvl="6" w:tplc="756E8778" w:tentative="1">
      <w:start w:val="1"/>
      <w:numFmt w:val="bullet"/>
      <w:lvlText w:val=""/>
      <w:lvlJc w:val="left"/>
      <w:pPr>
        <w:ind w:left="5891" w:hanging="360"/>
      </w:pPr>
      <w:rPr>
        <w:rFonts w:ascii="Symbol" w:hAnsi="Symbol" w:hint="default"/>
      </w:rPr>
    </w:lvl>
    <w:lvl w:ilvl="7" w:tplc="86F25160" w:tentative="1">
      <w:start w:val="1"/>
      <w:numFmt w:val="bullet"/>
      <w:lvlText w:val="o"/>
      <w:lvlJc w:val="left"/>
      <w:pPr>
        <w:ind w:left="6611" w:hanging="360"/>
      </w:pPr>
      <w:rPr>
        <w:rFonts w:ascii="Courier New" w:hAnsi="Courier New" w:cs="Courier New" w:hint="default"/>
      </w:rPr>
    </w:lvl>
    <w:lvl w:ilvl="8" w:tplc="3B84B8F0" w:tentative="1">
      <w:start w:val="1"/>
      <w:numFmt w:val="bullet"/>
      <w:lvlText w:val=""/>
      <w:lvlJc w:val="left"/>
      <w:pPr>
        <w:ind w:left="7331" w:hanging="360"/>
      </w:pPr>
      <w:rPr>
        <w:rFonts w:ascii="Wingdings" w:hAnsi="Wingdings" w:hint="default"/>
      </w:rPr>
    </w:lvl>
  </w:abstractNum>
  <w:abstractNum w:abstractNumId="16" w15:restartNumberingAfterBreak="0">
    <w:nsid w:val="7DCF4B25"/>
    <w:multiLevelType w:val="hybridMultilevel"/>
    <w:tmpl w:val="1B981436"/>
    <w:lvl w:ilvl="0" w:tplc="2E12D434">
      <w:start w:val="1"/>
      <w:numFmt w:val="decimal"/>
      <w:lvlText w:val="%1."/>
      <w:lvlJc w:val="left"/>
      <w:pPr>
        <w:ind w:left="720" w:hanging="360"/>
      </w:pPr>
      <w:rPr>
        <w:rFonts w:hint="default"/>
      </w:rPr>
    </w:lvl>
    <w:lvl w:ilvl="1" w:tplc="8DFC9AC4" w:tentative="1">
      <w:start w:val="1"/>
      <w:numFmt w:val="lowerLetter"/>
      <w:lvlText w:val="%2."/>
      <w:lvlJc w:val="left"/>
      <w:pPr>
        <w:ind w:left="1440" w:hanging="360"/>
      </w:pPr>
    </w:lvl>
    <w:lvl w:ilvl="2" w:tplc="C60AE5DC" w:tentative="1">
      <w:start w:val="1"/>
      <w:numFmt w:val="lowerRoman"/>
      <w:lvlText w:val="%3."/>
      <w:lvlJc w:val="right"/>
      <w:pPr>
        <w:ind w:left="2160" w:hanging="180"/>
      </w:pPr>
    </w:lvl>
    <w:lvl w:ilvl="3" w:tplc="AC581F60" w:tentative="1">
      <w:start w:val="1"/>
      <w:numFmt w:val="decimal"/>
      <w:lvlText w:val="%4."/>
      <w:lvlJc w:val="left"/>
      <w:pPr>
        <w:ind w:left="2880" w:hanging="360"/>
      </w:pPr>
    </w:lvl>
    <w:lvl w:ilvl="4" w:tplc="FD320ED4" w:tentative="1">
      <w:start w:val="1"/>
      <w:numFmt w:val="lowerLetter"/>
      <w:lvlText w:val="%5."/>
      <w:lvlJc w:val="left"/>
      <w:pPr>
        <w:ind w:left="3600" w:hanging="360"/>
      </w:pPr>
    </w:lvl>
    <w:lvl w:ilvl="5" w:tplc="24621576" w:tentative="1">
      <w:start w:val="1"/>
      <w:numFmt w:val="lowerRoman"/>
      <w:lvlText w:val="%6."/>
      <w:lvlJc w:val="right"/>
      <w:pPr>
        <w:ind w:left="4320" w:hanging="180"/>
      </w:pPr>
    </w:lvl>
    <w:lvl w:ilvl="6" w:tplc="A74200BC" w:tentative="1">
      <w:start w:val="1"/>
      <w:numFmt w:val="decimal"/>
      <w:lvlText w:val="%7."/>
      <w:lvlJc w:val="left"/>
      <w:pPr>
        <w:ind w:left="5040" w:hanging="360"/>
      </w:pPr>
    </w:lvl>
    <w:lvl w:ilvl="7" w:tplc="79C84B00" w:tentative="1">
      <w:start w:val="1"/>
      <w:numFmt w:val="lowerLetter"/>
      <w:lvlText w:val="%8."/>
      <w:lvlJc w:val="left"/>
      <w:pPr>
        <w:ind w:left="5760" w:hanging="360"/>
      </w:pPr>
    </w:lvl>
    <w:lvl w:ilvl="8" w:tplc="C7A6AF16"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12"/>
  </w:num>
  <w:num w:numId="5">
    <w:abstractNumId w:val="7"/>
  </w:num>
  <w:num w:numId="6">
    <w:abstractNumId w:val="6"/>
  </w:num>
  <w:num w:numId="7">
    <w:abstractNumId w:val="3"/>
  </w:num>
  <w:num w:numId="8">
    <w:abstractNumId w:val="13"/>
  </w:num>
  <w:num w:numId="9">
    <w:abstractNumId w:val="16"/>
  </w:num>
  <w:num w:numId="10">
    <w:abstractNumId w:val="14"/>
  </w:num>
  <w:num w:numId="11">
    <w:abstractNumId w:val="5"/>
  </w:num>
  <w:num w:numId="12">
    <w:abstractNumId w:val="15"/>
  </w:num>
  <w:num w:numId="13">
    <w:abstractNumId w:val="2"/>
  </w:num>
  <w:num w:numId="14">
    <w:abstractNumId w:val="7"/>
  </w:num>
  <w:num w:numId="15">
    <w:abstractNumId w:val="0"/>
  </w:num>
  <w:num w:numId="16">
    <w:abstractNumId w:val="11"/>
  </w:num>
  <w:num w:numId="17">
    <w:abstractNumId w:val="4"/>
  </w:num>
  <w:num w:numId="18">
    <w:abstractNumId w:val="7"/>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21"/>
    <w:rsid w:val="005E1D76"/>
    <w:rsid w:val="00603D09"/>
    <w:rsid w:val="006E2E49"/>
    <w:rsid w:val="00DC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3C9533-E20F-4789-906D-1DC895A7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D57"/>
    <w:pPr>
      <w:spacing w:before="60" w:after="60"/>
    </w:pPr>
    <w:rPr>
      <w:rFonts w:ascii="Arial" w:hAnsi="Arial"/>
      <w:sz w:val="24"/>
      <w:szCs w:val="24"/>
    </w:rPr>
  </w:style>
  <w:style w:type="paragraph" w:styleId="Heading1">
    <w:name w:val="heading 1"/>
    <w:basedOn w:val="Normal"/>
    <w:next w:val="Heading2"/>
    <w:link w:val="Heading1Char"/>
    <w:uiPriority w:val="99"/>
    <w:qFormat/>
    <w:rsid w:val="009419F7"/>
    <w:pPr>
      <w:keepNext/>
      <w:spacing w:before="240"/>
      <w:outlineLvl w:val="0"/>
    </w:pPr>
    <w:rPr>
      <w:rFonts w:ascii="Cambria" w:hAnsi="Cambria"/>
      <w:b/>
      <w:bCs/>
      <w:kern w:val="32"/>
      <w:sz w:val="32"/>
      <w:szCs w:val="32"/>
    </w:rPr>
  </w:style>
  <w:style w:type="paragraph" w:styleId="Heading2">
    <w:name w:val="heading 2"/>
    <w:basedOn w:val="Normal"/>
    <w:next w:val="BodyText"/>
    <w:link w:val="Heading2Char"/>
    <w:uiPriority w:val="99"/>
    <w:qFormat/>
    <w:rsid w:val="009419F7"/>
    <w:pPr>
      <w:keepNext/>
      <w:spacing w:before="240"/>
      <w:outlineLvl w:val="1"/>
    </w:pPr>
    <w:rPr>
      <w:rFonts w:ascii="Cambria" w:hAnsi="Cambria"/>
      <w:b/>
      <w:bCs/>
      <w:i/>
      <w:iCs/>
      <w:sz w:val="28"/>
      <w:szCs w:val="28"/>
    </w:rPr>
  </w:style>
  <w:style w:type="paragraph" w:styleId="Heading3">
    <w:name w:val="heading 3"/>
    <w:basedOn w:val="Normal"/>
    <w:next w:val="BodyText"/>
    <w:link w:val="Heading3Char"/>
    <w:uiPriority w:val="99"/>
    <w:qFormat/>
    <w:rsid w:val="009419F7"/>
    <w:pPr>
      <w:keepNext/>
      <w:spacing w:before="240"/>
      <w:outlineLvl w:val="2"/>
    </w:pPr>
    <w:rPr>
      <w:rFonts w:ascii="Cambria" w:hAnsi="Cambria"/>
      <w:b/>
      <w:bCs/>
      <w:sz w:val="26"/>
      <w:szCs w:val="26"/>
    </w:rPr>
  </w:style>
  <w:style w:type="paragraph" w:styleId="Heading4">
    <w:name w:val="heading 4"/>
    <w:basedOn w:val="Normal"/>
    <w:next w:val="BodyText"/>
    <w:link w:val="Heading4Char"/>
    <w:uiPriority w:val="99"/>
    <w:qFormat/>
    <w:rsid w:val="009419F7"/>
    <w:pPr>
      <w:keepNext/>
      <w:spacing w:before="240"/>
      <w:outlineLvl w:val="3"/>
    </w:pPr>
    <w:rPr>
      <w:rFonts w:ascii="Calibri" w:hAnsi="Calibri"/>
      <w:b/>
      <w:bCs/>
      <w:sz w:val="28"/>
      <w:szCs w:val="28"/>
    </w:rPr>
  </w:style>
  <w:style w:type="paragraph" w:styleId="Heading5">
    <w:name w:val="heading 5"/>
    <w:basedOn w:val="Normal"/>
    <w:next w:val="BodyText"/>
    <w:link w:val="Heading5Char"/>
    <w:uiPriority w:val="99"/>
    <w:qFormat/>
    <w:rsid w:val="009419F7"/>
    <w:pPr>
      <w:spacing w:before="240"/>
      <w:outlineLvl w:val="4"/>
    </w:pPr>
    <w:rPr>
      <w:rFonts w:ascii="Calibri" w:hAnsi="Calibri"/>
      <w:b/>
      <w:bCs/>
      <w:i/>
      <w:iCs/>
      <w:sz w:val="26"/>
      <w:szCs w:val="26"/>
    </w:rPr>
  </w:style>
  <w:style w:type="paragraph" w:styleId="Heading6">
    <w:name w:val="heading 6"/>
    <w:basedOn w:val="Normal"/>
    <w:next w:val="BodyText"/>
    <w:link w:val="Heading6Char"/>
    <w:uiPriority w:val="99"/>
    <w:qFormat/>
    <w:rsid w:val="009419F7"/>
    <w:pPr>
      <w:spacing w:before="240"/>
      <w:outlineLvl w:val="5"/>
    </w:pPr>
    <w:rPr>
      <w:rFonts w:ascii="Calibri" w:hAnsi="Calibri"/>
      <w:b/>
      <w:bCs/>
      <w:sz w:val="22"/>
      <w:szCs w:val="22"/>
    </w:rPr>
  </w:style>
  <w:style w:type="paragraph" w:styleId="Heading7">
    <w:name w:val="heading 7"/>
    <w:basedOn w:val="Normal"/>
    <w:next w:val="BodyText"/>
    <w:link w:val="Heading7Char"/>
    <w:uiPriority w:val="99"/>
    <w:qFormat/>
    <w:rsid w:val="009419F7"/>
    <w:pPr>
      <w:spacing w:before="240"/>
      <w:outlineLvl w:val="6"/>
    </w:pPr>
    <w:rPr>
      <w:rFonts w:ascii="Calibri" w:hAnsi="Calibri"/>
    </w:rPr>
  </w:style>
  <w:style w:type="paragraph" w:styleId="Heading8">
    <w:name w:val="heading 8"/>
    <w:basedOn w:val="Normal"/>
    <w:next w:val="BodyText"/>
    <w:link w:val="Heading8Char"/>
    <w:uiPriority w:val="99"/>
    <w:qFormat/>
    <w:rsid w:val="009419F7"/>
    <w:pPr>
      <w:spacing w:before="240"/>
      <w:outlineLvl w:val="7"/>
    </w:pPr>
    <w:rPr>
      <w:rFonts w:ascii="Calibri" w:hAnsi="Calibri"/>
      <w:i/>
      <w:iCs/>
    </w:rPr>
  </w:style>
  <w:style w:type="paragraph" w:styleId="Heading9">
    <w:name w:val="heading 9"/>
    <w:basedOn w:val="Normal"/>
    <w:next w:val="BodyText"/>
    <w:link w:val="Heading9Char"/>
    <w:uiPriority w:val="99"/>
    <w:qFormat/>
    <w:rsid w:val="009419F7"/>
    <w:pPr>
      <w:spacing w:before="24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419F7"/>
    <w:pPr>
      <w:spacing w:after="260"/>
    </w:pPr>
  </w:style>
  <w:style w:type="character" w:customStyle="1" w:styleId="BodyTextChar">
    <w:name w:val="Body Text Char"/>
    <w:basedOn w:val="DefaultParagraphFont"/>
    <w:link w:val="BodyText"/>
    <w:uiPriority w:val="99"/>
    <w:locked/>
    <w:rsid w:val="00567F90"/>
    <w:rPr>
      <w:rFonts w:ascii="Arial" w:hAnsi="Arial" w:cs="Times New Roman"/>
      <w:sz w:val="24"/>
      <w:szCs w:val="24"/>
    </w:rPr>
  </w:style>
  <w:style w:type="character" w:customStyle="1" w:styleId="Heading2Char">
    <w:name w:val="Heading 2 Char"/>
    <w:basedOn w:val="DefaultParagraphFont"/>
    <w:link w:val="Heading2"/>
    <w:uiPriority w:val="99"/>
    <w:semiHidden/>
    <w:locked/>
    <w:rsid w:val="00567F90"/>
    <w:rPr>
      <w:rFonts w:ascii="Cambria" w:hAnsi="Cambria" w:cs="Times New Roman"/>
      <w:b/>
      <w:bCs/>
      <w:i/>
      <w:iCs/>
      <w:sz w:val="28"/>
      <w:szCs w:val="28"/>
    </w:rPr>
  </w:style>
  <w:style w:type="character" w:customStyle="1" w:styleId="Heading1Char">
    <w:name w:val="Heading 1 Char"/>
    <w:basedOn w:val="DefaultParagraphFont"/>
    <w:link w:val="Heading1"/>
    <w:uiPriority w:val="99"/>
    <w:locked/>
    <w:rsid w:val="00567F90"/>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567F9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67F9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67F9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67F90"/>
    <w:rPr>
      <w:rFonts w:ascii="Calibri" w:hAnsi="Calibri" w:cs="Times New Roman"/>
      <w:b/>
      <w:bCs/>
    </w:rPr>
  </w:style>
  <w:style w:type="character" w:customStyle="1" w:styleId="Heading7Char">
    <w:name w:val="Heading 7 Char"/>
    <w:basedOn w:val="DefaultParagraphFont"/>
    <w:link w:val="Heading7"/>
    <w:uiPriority w:val="99"/>
    <w:semiHidden/>
    <w:locked/>
    <w:rsid w:val="00567F9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67F9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67F90"/>
    <w:rPr>
      <w:rFonts w:ascii="Cambria" w:hAnsi="Cambria" w:cs="Times New Roman"/>
    </w:rPr>
  </w:style>
  <w:style w:type="paragraph" w:styleId="TOC1">
    <w:name w:val="toc 1"/>
    <w:basedOn w:val="Normal"/>
    <w:next w:val="Normal"/>
    <w:uiPriority w:val="99"/>
    <w:semiHidden/>
    <w:rsid w:val="009419F7"/>
    <w:pPr>
      <w:spacing w:before="120" w:after="240"/>
    </w:pPr>
  </w:style>
  <w:style w:type="character" w:styleId="Hyperlink">
    <w:name w:val="Hyperlink"/>
    <w:basedOn w:val="DefaultParagraphFont"/>
    <w:uiPriority w:val="99"/>
    <w:rsid w:val="009419F7"/>
    <w:rPr>
      <w:rFonts w:cs="Times New Roman"/>
      <w:color w:val="0000FF"/>
      <w:u w:val="single"/>
    </w:rPr>
  </w:style>
  <w:style w:type="paragraph" w:customStyle="1" w:styleId="TableText">
    <w:name w:val="Table Text"/>
    <w:basedOn w:val="Normal"/>
    <w:uiPriority w:val="99"/>
    <w:rsid w:val="009419F7"/>
    <w:pPr>
      <w:spacing w:before="120" w:after="170"/>
    </w:pPr>
  </w:style>
  <w:style w:type="paragraph" w:customStyle="1" w:styleId="TableColumnHeader">
    <w:name w:val="Table Column Header"/>
    <w:basedOn w:val="TableText"/>
    <w:uiPriority w:val="99"/>
    <w:rsid w:val="009419F7"/>
    <w:rPr>
      <w:b/>
    </w:rPr>
  </w:style>
  <w:style w:type="paragraph" w:styleId="BalloonText">
    <w:name w:val="Balloon Text"/>
    <w:basedOn w:val="Normal"/>
    <w:link w:val="BalloonTextChar"/>
    <w:uiPriority w:val="99"/>
    <w:semiHidden/>
    <w:rsid w:val="009419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7F90"/>
    <w:rPr>
      <w:rFonts w:cs="Times New Roman"/>
      <w:sz w:val="2"/>
    </w:rPr>
  </w:style>
  <w:style w:type="paragraph" w:styleId="Header">
    <w:name w:val="header"/>
    <w:basedOn w:val="Normal"/>
    <w:link w:val="HeaderChar"/>
    <w:uiPriority w:val="99"/>
    <w:rsid w:val="009419F7"/>
    <w:pPr>
      <w:tabs>
        <w:tab w:val="center" w:pos="4153"/>
        <w:tab w:val="right" w:pos="8306"/>
      </w:tabs>
    </w:pPr>
  </w:style>
  <w:style w:type="character" w:customStyle="1" w:styleId="HeaderChar">
    <w:name w:val="Header Char"/>
    <w:basedOn w:val="DefaultParagraphFont"/>
    <w:link w:val="Header"/>
    <w:uiPriority w:val="99"/>
    <w:semiHidden/>
    <w:locked/>
    <w:rsid w:val="00567F90"/>
    <w:rPr>
      <w:rFonts w:ascii="Arial" w:hAnsi="Arial" w:cs="Times New Roman"/>
      <w:sz w:val="24"/>
      <w:szCs w:val="24"/>
    </w:rPr>
  </w:style>
  <w:style w:type="paragraph" w:styleId="Footer">
    <w:name w:val="footer"/>
    <w:basedOn w:val="Normal"/>
    <w:link w:val="FooterChar"/>
    <w:uiPriority w:val="99"/>
    <w:rsid w:val="009419F7"/>
    <w:pPr>
      <w:tabs>
        <w:tab w:val="center" w:pos="4153"/>
        <w:tab w:val="right" w:pos="8306"/>
      </w:tabs>
    </w:pPr>
  </w:style>
  <w:style w:type="character" w:customStyle="1" w:styleId="FooterChar">
    <w:name w:val="Footer Char"/>
    <w:basedOn w:val="DefaultParagraphFont"/>
    <w:link w:val="Footer"/>
    <w:uiPriority w:val="99"/>
    <w:locked/>
    <w:rsid w:val="00567F90"/>
    <w:rPr>
      <w:rFonts w:ascii="Arial" w:hAnsi="Arial" w:cs="Times New Roman"/>
      <w:sz w:val="24"/>
      <w:szCs w:val="24"/>
    </w:rPr>
  </w:style>
  <w:style w:type="table" w:styleId="TableGrid">
    <w:name w:val="Table Grid"/>
    <w:basedOn w:val="TableNormal"/>
    <w:rsid w:val="009419F7"/>
    <w:pPr>
      <w:spacing w:line="26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419F7"/>
    <w:rPr>
      <w:rFonts w:cs="Times New Roman"/>
    </w:rPr>
  </w:style>
  <w:style w:type="paragraph" w:customStyle="1" w:styleId="Bodyindent">
    <w:name w:val="Body indent"/>
    <w:basedOn w:val="Normal"/>
    <w:uiPriority w:val="99"/>
    <w:rsid w:val="009419F7"/>
    <w:pPr>
      <w:widowControl w:val="0"/>
      <w:spacing w:before="140" w:line="290" w:lineRule="atLeast"/>
      <w:ind w:left="680"/>
    </w:pPr>
    <w:rPr>
      <w:rFonts w:ascii="Sabon" w:hAnsi="Sabon"/>
      <w:color w:val="000000"/>
      <w:sz w:val="21"/>
      <w:lang w:val="en-US"/>
    </w:rPr>
  </w:style>
  <w:style w:type="paragraph" w:styleId="FootnoteText">
    <w:name w:val="footnote text"/>
    <w:basedOn w:val="Normal"/>
    <w:link w:val="FootnoteTextChar"/>
    <w:uiPriority w:val="99"/>
    <w:semiHidden/>
    <w:rsid w:val="009419F7"/>
  </w:style>
  <w:style w:type="character" w:customStyle="1" w:styleId="FootnoteTextChar">
    <w:name w:val="Footnote Text Char"/>
    <w:basedOn w:val="DefaultParagraphFont"/>
    <w:link w:val="FootnoteText"/>
    <w:uiPriority w:val="99"/>
    <w:semiHidden/>
    <w:locked/>
    <w:rsid w:val="00567F90"/>
    <w:rPr>
      <w:rFonts w:ascii="Arial" w:hAnsi="Arial" w:cs="Times New Roman"/>
      <w:sz w:val="20"/>
      <w:szCs w:val="20"/>
    </w:rPr>
  </w:style>
  <w:style w:type="character" w:styleId="FootnoteReference">
    <w:name w:val="footnote reference"/>
    <w:basedOn w:val="DefaultParagraphFont"/>
    <w:uiPriority w:val="99"/>
    <w:semiHidden/>
    <w:rsid w:val="009419F7"/>
    <w:rPr>
      <w:rFonts w:cs="Times New Roman"/>
      <w:vertAlign w:val="superscript"/>
    </w:rPr>
  </w:style>
  <w:style w:type="character" w:customStyle="1" w:styleId="EmailStyle421">
    <w:name w:val="EmailStyle421"/>
    <w:basedOn w:val="DefaultParagraphFont"/>
    <w:uiPriority w:val="99"/>
    <w:semiHidden/>
    <w:rsid w:val="009419F7"/>
    <w:rPr>
      <w:rFonts w:ascii="Arial" w:hAnsi="Arial" w:cs="Arial"/>
      <w:color w:val="auto"/>
      <w:sz w:val="20"/>
      <w:szCs w:val="20"/>
    </w:rPr>
  </w:style>
  <w:style w:type="character" w:styleId="FollowedHyperlink">
    <w:name w:val="FollowedHyperlink"/>
    <w:basedOn w:val="DefaultParagraphFont"/>
    <w:uiPriority w:val="99"/>
    <w:rsid w:val="009419F7"/>
    <w:rPr>
      <w:rFonts w:cs="Times New Roman"/>
      <w:color w:val="800080"/>
      <w:u w:val="single"/>
    </w:rPr>
  </w:style>
  <w:style w:type="paragraph" w:styleId="PlainText">
    <w:name w:val="Plain Text"/>
    <w:basedOn w:val="Normal"/>
    <w:link w:val="PlainTextChar"/>
    <w:uiPriority w:val="99"/>
    <w:rsid w:val="00353AF0"/>
    <w:rPr>
      <w:rFonts w:ascii="Courier New" w:hAnsi="Courier New" w:cs="Courier New"/>
    </w:rPr>
  </w:style>
  <w:style w:type="character" w:customStyle="1" w:styleId="PlainTextChar">
    <w:name w:val="Plain Text Char"/>
    <w:basedOn w:val="DefaultParagraphFont"/>
    <w:link w:val="PlainText"/>
    <w:uiPriority w:val="99"/>
    <w:semiHidden/>
    <w:locked/>
    <w:rsid w:val="00567F90"/>
    <w:rPr>
      <w:rFonts w:ascii="Courier New" w:hAnsi="Courier New" w:cs="Courier New"/>
      <w:sz w:val="20"/>
      <w:szCs w:val="20"/>
    </w:rPr>
  </w:style>
  <w:style w:type="paragraph" w:styleId="BodyTextIndent3">
    <w:name w:val="Body Text Indent 3"/>
    <w:basedOn w:val="Normal"/>
    <w:link w:val="BodyTextIndent3Char"/>
    <w:uiPriority w:val="99"/>
    <w:rsid w:val="002661C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67F90"/>
    <w:rPr>
      <w:rFonts w:ascii="Arial" w:hAnsi="Arial" w:cs="Times New Roman"/>
      <w:sz w:val="16"/>
      <w:szCs w:val="16"/>
    </w:rPr>
  </w:style>
  <w:style w:type="paragraph" w:customStyle="1" w:styleId="Default">
    <w:name w:val="Default"/>
    <w:rsid w:val="00B910EB"/>
    <w:pPr>
      <w:autoSpaceDE w:val="0"/>
      <w:autoSpaceDN w:val="0"/>
      <w:adjustRightInd w:val="0"/>
      <w:spacing w:before="60" w:after="60"/>
    </w:pPr>
    <w:rPr>
      <w:rFonts w:ascii="Arial" w:hAnsi="Arial" w:cs="Arial"/>
      <w:color w:val="000000"/>
      <w:sz w:val="24"/>
      <w:szCs w:val="24"/>
    </w:rPr>
  </w:style>
  <w:style w:type="character" w:styleId="CommentReference">
    <w:name w:val="annotation reference"/>
    <w:basedOn w:val="DefaultParagraphFont"/>
    <w:uiPriority w:val="99"/>
    <w:semiHidden/>
    <w:rsid w:val="00FC4057"/>
    <w:rPr>
      <w:rFonts w:cs="Times New Roman"/>
      <w:sz w:val="16"/>
      <w:szCs w:val="16"/>
    </w:rPr>
  </w:style>
  <w:style w:type="paragraph" w:styleId="CommentText">
    <w:name w:val="annotation text"/>
    <w:basedOn w:val="Normal"/>
    <w:link w:val="CommentTextChar"/>
    <w:uiPriority w:val="99"/>
    <w:semiHidden/>
    <w:rsid w:val="00FC4057"/>
  </w:style>
  <w:style w:type="character" w:customStyle="1" w:styleId="CommentTextChar">
    <w:name w:val="Comment Text Char"/>
    <w:basedOn w:val="DefaultParagraphFont"/>
    <w:link w:val="CommentText"/>
    <w:uiPriority w:val="99"/>
    <w:semiHidden/>
    <w:locked/>
    <w:rsid w:val="00567F90"/>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FC4057"/>
    <w:rPr>
      <w:b/>
      <w:bCs/>
    </w:rPr>
  </w:style>
  <w:style w:type="character" w:customStyle="1" w:styleId="CommentSubjectChar">
    <w:name w:val="Comment Subject Char"/>
    <w:basedOn w:val="CommentTextChar"/>
    <w:link w:val="CommentSubject"/>
    <w:uiPriority w:val="99"/>
    <w:semiHidden/>
    <w:locked/>
    <w:rsid w:val="00567F90"/>
    <w:rPr>
      <w:rFonts w:ascii="Arial" w:hAnsi="Arial" w:cs="Times New Roman"/>
      <w:b/>
      <w:bCs/>
      <w:sz w:val="20"/>
      <w:szCs w:val="20"/>
    </w:rPr>
  </w:style>
  <w:style w:type="paragraph" w:customStyle="1" w:styleId="Italicparaheading">
    <w:name w:val="Italic para heading"/>
    <w:basedOn w:val="Normal"/>
    <w:link w:val="ItalicparaheadingChar"/>
    <w:uiPriority w:val="99"/>
    <w:rsid w:val="0069418F"/>
    <w:pPr>
      <w:spacing w:before="120" w:after="120"/>
    </w:pPr>
    <w:rPr>
      <w:b/>
      <w:i/>
    </w:rPr>
  </w:style>
  <w:style w:type="character" w:customStyle="1" w:styleId="ItalicparaheadingChar">
    <w:name w:val="Italic para heading Char"/>
    <w:basedOn w:val="DefaultParagraphFont"/>
    <w:link w:val="Italicparaheading"/>
    <w:uiPriority w:val="99"/>
    <w:locked/>
    <w:rsid w:val="0069418F"/>
    <w:rPr>
      <w:rFonts w:ascii="Arial" w:hAnsi="Arial" w:cs="Times New Roman"/>
      <w:b/>
      <w:i/>
      <w:sz w:val="24"/>
      <w:lang w:eastAsia="en-US"/>
    </w:rPr>
  </w:style>
  <w:style w:type="paragraph" w:customStyle="1" w:styleId="Ruthsparagraph">
    <w:name w:val="Ruth's paragraph"/>
    <w:basedOn w:val="ListParagraph"/>
    <w:link w:val="RuthsparagraphChar1"/>
    <w:uiPriority w:val="99"/>
    <w:rsid w:val="008A65E8"/>
    <w:pPr>
      <w:numPr>
        <w:ilvl w:val="1"/>
        <w:numId w:val="4"/>
      </w:numPr>
      <w:spacing w:before="120" w:after="120"/>
    </w:pPr>
  </w:style>
  <w:style w:type="paragraph" w:styleId="ListParagraph">
    <w:name w:val="List Paragraph"/>
    <w:basedOn w:val="Normal"/>
    <w:link w:val="ListParagraphChar"/>
    <w:uiPriority w:val="34"/>
    <w:qFormat/>
    <w:rsid w:val="001D2D57"/>
    <w:pPr>
      <w:numPr>
        <w:numId w:val="5"/>
      </w:numPr>
      <w:contextualSpacing/>
    </w:pPr>
  </w:style>
  <w:style w:type="character" w:customStyle="1" w:styleId="ListParagraphChar">
    <w:name w:val="List Paragraph Char"/>
    <w:basedOn w:val="DefaultParagraphFont"/>
    <w:link w:val="ListParagraph"/>
    <w:uiPriority w:val="34"/>
    <w:locked/>
    <w:rsid w:val="001D2D57"/>
    <w:rPr>
      <w:rFonts w:ascii="Arial" w:hAnsi="Arial"/>
      <w:sz w:val="24"/>
      <w:szCs w:val="24"/>
    </w:rPr>
  </w:style>
  <w:style w:type="character" w:customStyle="1" w:styleId="RuthsparagraphChar1">
    <w:name w:val="Ruth's paragraph Char1"/>
    <w:basedOn w:val="DefaultParagraphFont"/>
    <w:link w:val="Ruthsparagraph"/>
    <w:uiPriority w:val="99"/>
    <w:locked/>
    <w:rsid w:val="008A65E8"/>
    <w:rPr>
      <w:rFonts w:ascii="Arial" w:hAnsi="Arial"/>
      <w:sz w:val="24"/>
      <w:szCs w:val="24"/>
    </w:rPr>
  </w:style>
  <w:style w:type="paragraph" w:customStyle="1" w:styleId="Ruthsbulletpoint">
    <w:name w:val="Ruth's bullet point"/>
    <w:basedOn w:val="Ruthsparagraph"/>
    <w:link w:val="RuthsbulletpointChar"/>
    <w:uiPriority w:val="99"/>
    <w:rsid w:val="008A65E8"/>
    <w:pPr>
      <w:numPr>
        <w:numId w:val="3"/>
      </w:numPr>
    </w:pPr>
  </w:style>
  <w:style w:type="character" w:customStyle="1" w:styleId="RuthsbulletpointChar">
    <w:name w:val="Ruth's bullet point Char"/>
    <w:basedOn w:val="RuthsparagraphChar1"/>
    <w:link w:val="Ruthsbulletpoint"/>
    <w:uiPriority w:val="99"/>
    <w:locked/>
    <w:rsid w:val="008A65E8"/>
    <w:rPr>
      <w:rFonts w:ascii="Arial" w:hAnsi="Arial"/>
      <w:sz w:val="24"/>
      <w:szCs w:val="24"/>
    </w:rPr>
  </w:style>
  <w:style w:type="paragraph" w:customStyle="1" w:styleId="Ruthsnumberedheading">
    <w:name w:val="Ruth's numbered heading"/>
    <w:basedOn w:val="Normal"/>
    <w:uiPriority w:val="99"/>
    <w:rsid w:val="008A65E8"/>
    <w:pPr>
      <w:numPr>
        <w:numId w:val="4"/>
      </w:numPr>
      <w:spacing w:before="120" w:after="120"/>
    </w:pPr>
    <w:rPr>
      <w:rFonts w:cs="Arial"/>
      <w:b/>
      <w:sz w:val="28"/>
      <w:szCs w:val="28"/>
    </w:rPr>
  </w:style>
  <w:style w:type="paragraph" w:customStyle="1" w:styleId="Ruth-numberedparargraph">
    <w:name w:val="Ruth - numbered parargraph"/>
    <w:basedOn w:val="ListParagraph"/>
    <w:link w:val="Ruth-numberedparargraphChar"/>
    <w:uiPriority w:val="99"/>
    <w:rsid w:val="001D2D57"/>
    <w:pPr>
      <w:numPr>
        <w:ilvl w:val="1"/>
        <w:numId w:val="6"/>
      </w:numPr>
    </w:pPr>
    <w:rPr>
      <w:rFonts w:ascii="Calibri" w:hAnsi="Calibri" w:cs="Arial"/>
    </w:rPr>
  </w:style>
  <w:style w:type="character" w:customStyle="1" w:styleId="Ruth-numberedparargraphChar">
    <w:name w:val="Ruth - numbered parargraph Char"/>
    <w:basedOn w:val="ListParagraphChar"/>
    <w:link w:val="Ruth-numberedparargraph"/>
    <w:uiPriority w:val="99"/>
    <w:locked/>
    <w:rsid w:val="001D2D57"/>
    <w:rPr>
      <w:rFonts w:ascii="Calibri" w:hAnsi="Calibri" w:cs="Arial"/>
      <w:sz w:val="24"/>
      <w:szCs w:val="24"/>
    </w:rPr>
  </w:style>
  <w:style w:type="paragraph" w:customStyle="1" w:styleId="Ruth-paragraphblank">
    <w:name w:val="Ruth - paragraph blank"/>
    <w:basedOn w:val="Normal"/>
    <w:link w:val="Ruth-paragraphblankChar"/>
    <w:uiPriority w:val="99"/>
    <w:rsid w:val="001D2D57"/>
    <w:pPr>
      <w:spacing w:before="120" w:after="120"/>
      <w:ind w:left="709"/>
    </w:pPr>
    <w:rPr>
      <w:rFonts w:ascii="Calibri" w:hAnsi="Calibri"/>
    </w:rPr>
  </w:style>
  <w:style w:type="character" w:customStyle="1" w:styleId="Ruth-paragraphblankChar">
    <w:name w:val="Ruth - paragraph blank Char"/>
    <w:basedOn w:val="DefaultParagraphFont"/>
    <w:link w:val="Ruth-paragraphblank"/>
    <w:uiPriority w:val="99"/>
    <w:locked/>
    <w:rsid w:val="001D2D57"/>
    <w:rPr>
      <w:rFonts w:ascii="Calibri" w:hAnsi="Calibri" w:cs="Times New Roman"/>
      <w:sz w:val="24"/>
      <w:szCs w:val="24"/>
    </w:rPr>
  </w:style>
  <w:style w:type="paragraph" w:customStyle="1" w:styleId="Ruth-documenttitle">
    <w:name w:val="Ruth - document title"/>
    <w:basedOn w:val="Normal"/>
    <w:link w:val="Ruth-documenttitleChar"/>
    <w:uiPriority w:val="99"/>
    <w:rsid w:val="001D2D57"/>
    <w:pPr>
      <w:spacing w:before="120" w:after="240"/>
    </w:pPr>
    <w:rPr>
      <w:rFonts w:ascii="Calibri" w:hAnsi="Calibri"/>
      <w:b/>
      <w:sz w:val="32"/>
      <w:szCs w:val="32"/>
    </w:rPr>
  </w:style>
  <w:style w:type="character" w:customStyle="1" w:styleId="Ruth-documenttitleChar">
    <w:name w:val="Ruth - document title Char"/>
    <w:basedOn w:val="DefaultParagraphFont"/>
    <w:link w:val="Ruth-documenttitle"/>
    <w:uiPriority w:val="99"/>
    <w:locked/>
    <w:rsid w:val="001D2D57"/>
    <w:rPr>
      <w:rFonts w:ascii="Calibri" w:hAnsi="Calibri" w:cs="Times New Roman"/>
      <w:b/>
      <w:sz w:val="32"/>
      <w:szCs w:val="32"/>
    </w:rPr>
  </w:style>
  <w:style w:type="paragraph" w:customStyle="1" w:styleId="Ruth-headingnumbered">
    <w:name w:val="Ruth - heading numbered"/>
    <w:basedOn w:val="ListParagraph"/>
    <w:link w:val="Ruth-headingnumberedChar"/>
    <w:uiPriority w:val="99"/>
    <w:rsid w:val="001D2D57"/>
    <w:pPr>
      <w:numPr>
        <w:numId w:val="6"/>
      </w:numPr>
      <w:spacing w:before="240" w:after="240"/>
      <w:contextualSpacing w:val="0"/>
    </w:pPr>
    <w:rPr>
      <w:rFonts w:ascii="Calibri" w:hAnsi="Calibri"/>
      <w:b/>
      <w:sz w:val="28"/>
      <w:szCs w:val="28"/>
    </w:rPr>
  </w:style>
  <w:style w:type="character" w:customStyle="1" w:styleId="Ruth-headingnumberedChar">
    <w:name w:val="Ruth - heading numbered Char"/>
    <w:basedOn w:val="ListParagraphChar"/>
    <w:link w:val="Ruth-headingnumbered"/>
    <w:uiPriority w:val="99"/>
    <w:locked/>
    <w:rsid w:val="001D2D57"/>
    <w:rPr>
      <w:rFonts w:ascii="Calibri" w:hAnsi="Calibri"/>
      <w:b/>
      <w:sz w:val="28"/>
      <w:szCs w:val="28"/>
    </w:rPr>
  </w:style>
  <w:style w:type="paragraph" w:customStyle="1" w:styleId="Ruth-bullet">
    <w:name w:val="Ruth - bullet"/>
    <w:basedOn w:val="ListParagraph"/>
    <w:link w:val="Ruth-bulletChar"/>
    <w:uiPriority w:val="99"/>
    <w:rsid w:val="001D2D57"/>
    <w:pPr>
      <w:numPr>
        <w:numId w:val="7"/>
      </w:numPr>
    </w:pPr>
    <w:rPr>
      <w:rFonts w:ascii="Calibri" w:hAnsi="Calibri"/>
    </w:rPr>
  </w:style>
  <w:style w:type="character" w:customStyle="1" w:styleId="Ruth-bulletChar">
    <w:name w:val="Ruth - bullet Char"/>
    <w:basedOn w:val="ListParagraphChar"/>
    <w:link w:val="Ruth-bullet"/>
    <w:uiPriority w:val="99"/>
    <w:locked/>
    <w:rsid w:val="001D2D57"/>
    <w:rPr>
      <w:rFonts w:ascii="Calibri" w:hAnsi="Calibri"/>
      <w:sz w:val="24"/>
      <w:szCs w:val="24"/>
    </w:rPr>
  </w:style>
  <w:style w:type="character" w:styleId="Strong">
    <w:name w:val="Strong"/>
    <w:basedOn w:val="DefaultParagraphFont"/>
    <w:uiPriority w:val="22"/>
    <w:qFormat/>
    <w:rsid w:val="003B02A0"/>
    <w:rPr>
      <w:rFonts w:cs="Times New Roman"/>
      <w:b/>
      <w:bCs/>
    </w:rPr>
  </w:style>
  <w:style w:type="paragraph" w:customStyle="1" w:styleId="Normalnos">
    <w:name w:val="Normal + nos"/>
    <w:basedOn w:val="Default"/>
    <w:next w:val="Default"/>
    <w:uiPriority w:val="99"/>
    <w:rsid w:val="00953F44"/>
    <w:pPr>
      <w:spacing w:before="0" w:after="0"/>
    </w:pPr>
    <w:rPr>
      <w:rFonts w:ascii="Tahoma" w:hAnsi="Tahoma" w:cs="Tahoma"/>
      <w:color w:val="auto"/>
    </w:rPr>
  </w:style>
  <w:style w:type="paragraph" w:customStyle="1" w:styleId="italicparaheading0">
    <w:name w:val="italicparaheading"/>
    <w:basedOn w:val="Normal"/>
    <w:uiPriority w:val="99"/>
    <w:rsid w:val="0083640A"/>
    <w:pPr>
      <w:spacing w:before="100" w:beforeAutospacing="1" w:after="100" w:afterAutospacing="1"/>
    </w:pPr>
  </w:style>
  <w:style w:type="character" w:styleId="Emphasis">
    <w:name w:val="Emphasis"/>
    <w:basedOn w:val="DefaultParagraphFont"/>
    <w:uiPriority w:val="99"/>
    <w:qFormat/>
    <w:rsid w:val="0083640A"/>
    <w:rPr>
      <w:rFonts w:cs="Times New Roman"/>
      <w:i/>
      <w:iCs/>
    </w:rPr>
  </w:style>
  <w:style w:type="paragraph" w:customStyle="1" w:styleId="Ruth-paragraphheading">
    <w:name w:val="Ruth - paragraph heading"/>
    <w:basedOn w:val="BodyText"/>
    <w:link w:val="Ruth-paragraphheadingChar"/>
    <w:uiPriority w:val="99"/>
    <w:rsid w:val="002840CA"/>
    <w:pPr>
      <w:spacing w:before="120" w:after="120"/>
      <w:ind w:left="709"/>
    </w:pPr>
    <w:rPr>
      <w:b/>
    </w:rPr>
  </w:style>
  <w:style w:type="character" w:customStyle="1" w:styleId="Ruth-paragraphheadingChar">
    <w:name w:val="Ruth - paragraph heading Char"/>
    <w:basedOn w:val="BodyTextChar"/>
    <w:link w:val="Ruth-paragraphheading"/>
    <w:uiPriority w:val="99"/>
    <w:locked/>
    <w:rsid w:val="002840CA"/>
    <w:rPr>
      <w:rFonts w:ascii="Arial" w:hAnsi="Arial" w:cs="Times New Roman"/>
      <w:b/>
      <w:sz w:val="24"/>
      <w:szCs w:val="24"/>
    </w:rPr>
  </w:style>
  <w:style w:type="paragraph" w:customStyle="1" w:styleId="Ruthsheader">
    <w:name w:val="Ruth's header"/>
    <w:basedOn w:val="Normal"/>
    <w:qFormat/>
    <w:rsid w:val="00230AF2"/>
    <w:pPr>
      <w:numPr>
        <w:numId w:val="17"/>
      </w:numPr>
      <w:spacing w:before="120" w:after="120"/>
      <w:ind w:left="851" w:hanging="851"/>
    </w:pPr>
    <w:rPr>
      <w:rFonts w:eastAsiaTheme="minorHAnsi" w:cs="Arial"/>
      <w:b/>
      <w:sz w:val="26"/>
      <w:szCs w:val="26"/>
      <w:lang w:eastAsia="en-US"/>
    </w:rPr>
  </w:style>
  <w:style w:type="paragraph" w:customStyle="1" w:styleId="Ruthsbullets">
    <w:name w:val="Ruth's bullets"/>
    <w:basedOn w:val="Normal"/>
    <w:link w:val="RuthsbulletsChar"/>
    <w:qFormat/>
    <w:rsid w:val="00230AF2"/>
    <w:pPr>
      <w:numPr>
        <w:numId w:val="16"/>
      </w:numPr>
      <w:spacing w:before="120" w:after="120"/>
      <w:ind w:left="1560" w:hanging="567"/>
    </w:pPr>
    <w:rPr>
      <w:rFonts w:eastAsiaTheme="minorHAnsi" w:cs="Arial"/>
      <w:lang w:eastAsia="en-US"/>
    </w:rPr>
  </w:style>
  <w:style w:type="character" w:customStyle="1" w:styleId="RuthsbulletsChar">
    <w:name w:val="Ruth's bullets Char"/>
    <w:basedOn w:val="DefaultParagraphFont"/>
    <w:link w:val="Ruthsbullets"/>
    <w:rsid w:val="00230AF2"/>
    <w:rPr>
      <w:rFonts w:ascii="Arial" w:eastAsiaTheme="minorHAnsi" w:hAnsi="Arial" w:cs="Arial"/>
      <w:sz w:val="24"/>
      <w:szCs w:val="24"/>
      <w:lang w:eastAsia="en-US"/>
    </w:rPr>
  </w:style>
  <w:style w:type="paragraph" w:customStyle="1" w:styleId="Ruthsnumberedparagraph">
    <w:name w:val="Ruth's numbered paragraph"/>
    <w:basedOn w:val="Ruthsheader"/>
    <w:link w:val="RuthsnumberedparagraphChar"/>
    <w:qFormat/>
    <w:rsid w:val="00230AF2"/>
    <w:pPr>
      <w:numPr>
        <w:ilvl w:val="1"/>
      </w:numPr>
    </w:pPr>
    <w:rPr>
      <w:b w:val="0"/>
      <w:sz w:val="24"/>
      <w:szCs w:val="24"/>
    </w:rPr>
  </w:style>
  <w:style w:type="character" w:customStyle="1" w:styleId="RuthsnumberedparagraphChar">
    <w:name w:val="Ruth's numbered paragraph Char"/>
    <w:basedOn w:val="DefaultParagraphFont"/>
    <w:link w:val="Ruthsnumberedparagraph"/>
    <w:rsid w:val="00230AF2"/>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ports.ofsted.gov.uk/local-authorities/lancashir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F3896-DAF1-45FF-AC79-47245CBE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2858</Words>
  <Characters>15307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Annual report</vt:lpstr>
    </vt:vector>
  </TitlesOfParts>
  <Company>Lancashire County Council</Company>
  <LinksUpToDate>false</LinksUpToDate>
  <CharactersWithSpaces>18129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Ruth Lowry</dc:creator>
  <cp:lastModifiedBy>Gorman, Dave</cp:lastModifiedBy>
  <cp:revision>17</cp:revision>
  <cp:lastPrinted>2018-04-11T13:16:00Z</cp:lastPrinted>
  <dcterms:created xsi:type="dcterms:W3CDTF">2018-04-18T09:12:00Z</dcterms:created>
  <dcterms:modified xsi:type="dcterms:W3CDTF">2018-04-18T14:36:00Z</dcterms:modified>
</cp:coreProperties>
</file>